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XSpec="center" w:tblpY="905"/>
        <w:tblW w:w="9129" w:type="dxa"/>
        <w:tblLayout w:type="fixed"/>
        <w:tblLook w:val="0000" w:firstRow="0" w:lastRow="0" w:firstColumn="0" w:lastColumn="0" w:noHBand="0" w:noVBand="0"/>
      </w:tblPr>
      <w:tblGrid>
        <w:gridCol w:w="2862"/>
        <w:gridCol w:w="6267"/>
      </w:tblGrid>
      <w:tr w:rsidR="001B50EB" w:rsidRPr="00CA39BF" w14:paraId="10F989D2" w14:textId="77777777" w:rsidTr="00455C49">
        <w:trPr>
          <w:trHeight w:hRule="exact" w:val="988"/>
        </w:trPr>
        <w:tc>
          <w:tcPr>
            <w:tcW w:w="2862" w:type="dxa"/>
          </w:tcPr>
          <w:p w14:paraId="586462C4" w14:textId="77777777" w:rsidR="00A85D45" w:rsidRPr="00CA39BF" w:rsidRDefault="00A85D45" w:rsidP="00CA39BF">
            <w:pPr>
              <w:shd w:val="clear" w:color="auto" w:fill="FFFFFF" w:themeFill="background1"/>
              <w:spacing w:line="276" w:lineRule="auto"/>
              <w:jc w:val="center"/>
              <w:rPr>
                <w:b/>
                <w:bCs/>
                <w:color w:val="000000" w:themeColor="text1"/>
                <w:lang w:val="nl-NL"/>
              </w:rPr>
            </w:pPr>
            <w:r w:rsidRPr="00CA39BF">
              <w:rPr>
                <w:b/>
                <w:bCs/>
                <w:noProof/>
                <w:color w:val="000000" w:themeColor="text1"/>
              </w:rPr>
              <mc:AlternateContent>
                <mc:Choice Requires="wps">
                  <w:drawing>
                    <wp:anchor distT="0" distB="0" distL="114300" distR="114300" simplePos="0" relativeHeight="251661312" behindDoc="0" locked="0" layoutInCell="1" allowOverlap="1" wp14:anchorId="53061DB3" wp14:editId="2CAE48F9">
                      <wp:simplePos x="0" y="0"/>
                      <wp:positionH relativeFrom="column">
                        <wp:posOffset>515376</wp:posOffset>
                      </wp:positionH>
                      <wp:positionV relativeFrom="paragraph">
                        <wp:posOffset>203249</wp:posOffset>
                      </wp:positionV>
                      <wp:extent cx="609600" cy="0"/>
                      <wp:effectExtent l="12065" t="8890" r="6985" b="1016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41FA20" id="Straight Connector 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6pt,16pt" to="88.6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"/>
                  </w:pict>
                </mc:Fallback>
              </mc:AlternateContent>
            </w:r>
            <w:r w:rsidRPr="00CA39BF">
              <w:rPr>
                <w:b/>
                <w:bCs/>
                <w:color w:val="000000" w:themeColor="text1"/>
                <w:lang w:val="nl-NL"/>
              </w:rPr>
              <w:t>BỘ Y TẾ</w:t>
            </w:r>
          </w:p>
          <w:p w14:paraId="1E2DCDF3" w14:textId="77777777" w:rsidR="00A85D45" w:rsidRPr="00CA39BF" w:rsidRDefault="00A85D45" w:rsidP="00CA39BF">
            <w:pPr>
              <w:shd w:val="clear" w:color="auto" w:fill="FFFFFF" w:themeFill="background1"/>
              <w:spacing w:line="276" w:lineRule="auto"/>
              <w:jc w:val="center"/>
              <w:rPr>
                <w:b/>
                <w:bCs/>
                <w:color w:val="000000" w:themeColor="text1"/>
                <w:lang w:val="nl-NL"/>
              </w:rPr>
            </w:pPr>
            <w:r w:rsidRPr="00CA39BF">
              <w:rPr>
                <w:b/>
                <w:bCs/>
                <w:noProof/>
                <w:color w:val="000000" w:themeColor="text1"/>
              </w:rPr>
              <mc:AlternateContent>
                <mc:Choice Requires="wps">
                  <w:drawing>
                    <wp:anchor distT="0" distB="0" distL="114300" distR="114300" simplePos="0" relativeHeight="251660288" behindDoc="0" locked="0" layoutInCell="1" allowOverlap="1" wp14:anchorId="35325658" wp14:editId="6727384C">
                      <wp:simplePos x="0" y="0"/>
                      <wp:positionH relativeFrom="column">
                        <wp:posOffset>736600</wp:posOffset>
                      </wp:positionH>
                      <wp:positionV relativeFrom="paragraph">
                        <wp:posOffset>-1326515</wp:posOffset>
                      </wp:positionV>
                      <wp:extent cx="685800" cy="0"/>
                      <wp:effectExtent l="8255" t="13970" r="10795" b="508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23CDF8"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pt,-104.45pt" to="112pt,-10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pjI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"/>
                  </w:pict>
                </mc:Fallback>
              </mc:AlternateContent>
            </w:r>
          </w:p>
          <w:p w14:paraId="5E42A776" w14:textId="77777777" w:rsidR="00A85D45" w:rsidRPr="00CA39BF" w:rsidRDefault="00A85D45" w:rsidP="00CA39BF">
            <w:pPr>
              <w:shd w:val="clear" w:color="auto" w:fill="FFFFFF" w:themeFill="background1"/>
              <w:spacing w:line="276" w:lineRule="auto"/>
              <w:jc w:val="center"/>
              <w:rPr>
                <w:rStyle w:val="Strong"/>
                <w:color w:val="000000" w:themeColor="text1"/>
                <w:lang w:val="nl-NL"/>
              </w:rPr>
            </w:pPr>
          </w:p>
        </w:tc>
        <w:tc>
          <w:tcPr>
            <w:tcW w:w="6267" w:type="dxa"/>
          </w:tcPr>
          <w:p w14:paraId="3E1F3EF2" w14:textId="77777777" w:rsidR="00A85D45" w:rsidRPr="00CA39BF" w:rsidRDefault="00A85D45" w:rsidP="00CA39BF">
            <w:pPr>
              <w:shd w:val="clear" w:color="auto" w:fill="FFFFFF" w:themeFill="background1"/>
              <w:spacing w:line="276" w:lineRule="auto"/>
              <w:jc w:val="center"/>
              <w:rPr>
                <w:b/>
                <w:bCs/>
                <w:color w:val="000000" w:themeColor="text1"/>
                <w:lang w:val="nl-NL"/>
              </w:rPr>
            </w:pPr>
            <w:r w:rsidRPr="00CA39BF">
              <w:rPr>
                <w:b/>
                <w:bCs/>
                <w:color w:val="000000" w:themeColor="text1"/>
                <w:lang w:val="nl-NL"/>
              </w:rPr>
              <w:t>CỘNG HOÀ XÃ HỘI CHỦ NGHĨA VIỆT NAM</w:t>
            </w:r>
          </w:p>
          <w:p w14:paraId="4FBEA507" w14:textId="77777777" w:rsidR="00A85D45" w:rsidRPr="00CA39BF" w:rsidRDefault="00A85D45" w:rsidP="00CA39BF">
            <w:pPr>
              <w:shd w:val="clear" w:color="auto" w:fill="FFFFFF" w:themeFill="background1"/>
              <w:spacing w:line="276" w:lineRule="auto"/>
              <w:jc w:val="center"/>
              <w:rPr>
                <w:b/>
                <w:bCs/>
                <w:color w:val="000000" w:themeColor="text1"/>
                <w:lang w:val="nl-NL"/>
              </w:rPr>
            </w:pPr>
            <w:r w:rsidRPr="00CA39BF">
              <w:rPr>
                <w:b/>
                <w:bCs/>
                <w:noProof/>
                <w:color w:val="000000" w:themeColor="text1"/>
              </w:rPr>
              <mc:AlternateContent>
                <mc:Choice Requires="wps">
                  <w:drawing>
                    <wp:anchor distT="0" distB="0" distL="114300" distR="114300" simplePos="0" relativeHeight="251662336" behindDoc="0" locked="0" layoutInCell="1" allowOverlap="1" wp14:anchorId="66A79CA4" wp14:editId="47312209">
                      <wp:simplePos x="0" y="0"/>
                      <wp:positionH relativeFrom="column">
                        <wp:posOffset>835660</wp:posOffset>
                      </wp:positionH>
                      <wp:positionV relativeFrom="paragraph">
                        <wp:posOffset>229235</wp:posOffset>
                      </wp:positionV>
                      <wp:extent cx="2104390" cy="0"/>
                      <wp:effectExtent l="8255" t="8890" r="11430" b="1016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43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397EE2" id="Straight Connector 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8pt,18.05pt" to="231.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"/>
                  </w:pict>
                </mc:Fallback>
              </mc:AlternateContent>
            </w:r>
            <w:r w:rsidRPr="00CA39BF">
              <w:rPr>
                <w:b/>
                <w:bCs/>
                <w:color w:val="000000" w:themeColor="text1"/>
                <w:lang w:val="nl-NL"/>
              </w:rPr>
              <w:t>Độc lập - Tự do - Hạnh phúc</w:t>
            </w:r>
          </w:p>
          <w:p w14:paraId="5FCDD296" w14:textId="77777777" w:rsidR="00A85D45" w:rsidRPr="00CA39BF" w:rsidRDefault="00A85D45" w:rsidP="00CA39BF">
            <w:pPr>
              <w:shd w:val="clear" w:color="auto" w:fill="FFFFFF" w:themeFill="background1"/>
              <w:spacing w:line="276" w:lineRule="auto"/>
              <w:jc w:val="center"/>
              <w:rPr>
                <w:i/>
                <w:iCs/>
                <w:color w:val="000000" w:themeColor="text1"/>
                <w:lang w:val="nl-NL"/>
              </w:rPr>
            </w:pPr>
            <w:r w:rsidRPr="00CA39BF">
              <w:rPr>
                <w:b/>
                <w:bCs/>
                <w:noProof/>
                <w:color w:val="000000" w:themeColor="text1"/>
              </w:rPr>
              <mc:AlternateContent>
                <mc:Choice Requires="wps">
                  <w:drawing>
                    <wp:anchor distT="0" distB="0" distL="114300" distR="114300" simplePos="0" relativeHeight="251659264" behindDoc="0" locked="0" layoutInCell="1" allowOverlap="1" wp14:anchorId="42F380AC" wp14:editId="129C1251">
                      <wp:simplePos x="0" y="0"/>
                      <wp:positionH relativeFrom="column">
                        <wp:posOffset>820420</wp:posOffset>
                      </wp:positionH>
                      <wp:positionV relativeFrom="paragraph">
                        <wp:posOffset>-1302385</wp:posOffset>
                      </wp:positionV>
                      <wp:extent cx="2171700" cy="0"/>
                      <wp:effectExtent l="7620" t="13970" r="11430" b="508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77F357"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6pt,-102.55pt" to="235.6pt,-10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"/>
                  </w:pict>
                </mc:Fallback>
              </mc:AlternateContent>
            </w:r>
          </w:p>
          <w:p w14:paraId="7614A48C" w14:textId="77777777" w:rsidR="00A85D45" w:rsidRPr="00CA39BF" w:rsidRDefault="00A85D45" w:rsidP="00CA39BF">
            <w:pPr>
              <w:shd w:val="clear" w:color="auto" w:fill="FFFFFF" w:themeFill="background1"/>
              <w:spacing w:line="276" w:lineRule="auto"/>
              <w:jc w:val="center"/>
              <w:rPr>
                <w:i/>
                <w:iCs/>
                <w:color w:val="000000" w:themeColor="text1"/>
                <w:lang w:val="nl-NL"/>
              </w:rPr>
            </w:pPr>
          </w:p>
        </w:tc>
      </w:tr>
      <w:tr w:rsidR="001B50EB" w:rsidRPr="00CA39BF" w14:paraId="01F2F723" w14:textId="77777777" w:rsidTr="00A85D45">
        <w:trPr>
          <w:trHeight w:hRule="exact" w:val="698"/>
        </w:trPr>
        <w:tc>
          <w:tcPr>
            <w:tcW w:w="2862" w:type="dxa"/>
          </w:tcPr>
          <w:p w14:paraId="5028F39D" w14:textId="77777777" w:rsidR="00A85D45" w:rsidRPr="00CA39BF" w:rsidRDefault="00A85D45" w:rsidP="00CA39BF">
            <w:pPr>
              <w:shd w:val="clear" w:color="auto" w:fill="FFFFFF" w:themeFill="background1"/>
              <w:spacing w:line="276" w:lineRule="auto"/>
              <w:jc w:val="center"/>
              <w:rPr>
                <w:color w:val="000000" w:themeColor="text1"/>
                <w:lang w:val="nl-NL"/>
              </w:rPr>
            </w:pPr>
            <w:r w:rsidRPr="00CA39BF">
              <w:rPr>
                <w:color w:val="000000" w:themeColor="text1"/>
                <w:lang w:val="nl-NL"/>
              </w:rPr>
              <w:t>Số:         /</w:t>
            </w:r>
            <w:r w:rsidRPr="00CA39BF">
              <w:rPr>
                <w:color w:val="000000" w:themeColor="text1"/>
              </w:rPr>
              <w:t>BC-BYT</w:t>
            </w:r>
          </w:p>
          <w:p w14:paraId="4E169BF6" w14:textId="77777777" w:rsidR="00A85D45" w:rsidRPr="00CA39BF" w:rsidRDefault="00A85D45" w:rsidP="00CA39BF">
            <w:pPr>
              <w:shd w:val="clear" w:color="auto" w:fill="FFFFFF" w:themeFill="background1"/>
              <w:spacing w:line="276" w:lineRule="auto"/>
              <w:jc w:val="center"/>
              <w:rPr>
                <w:b/>
                <w:bCs/>
                <w:color w:val="000000" w:themeColor="text1"/>
                <w:lang w:val="en"/>
              </w:rPr>
            </w:pPr>
          </w:p>
        </w:tc>
        <w:tc>
          <w:tcPr>
            <w:tcW w:w="6267" w:type="dxa"/>
          </w:tcPr>
          <w:p w14:paraId="546A029C" w14:textId="77777777" w:rsidR="00A85D45" w:rsidRPr="00CA39BF" w:rsidRDefault="00A85D45" w:rsidP="00CA39BF">
            <w:pPr>
              <w:shd w:val="clear" w:color="auto" w:fill="FFFFFF" w:themeFill="background1"/>
              <w:spacing w:line="276" w:lineRule="auto"/>
              <w:ind w:left="-164"/>
              <w:jc w:val="center"/>
              <w:rPr>
                <w:b/>
                <w:bCs/>
                <w:color w:val="000000" w:themeColor="text1"/>
                <w:lang w:val="en"/>
              </w:rPr>
            </w:pPr>
            <w:r w:rsidRPr="00CA39BF">
              <w:rPr>
                <w:i/>
                <w:iCs/>
                <w:color w:val="000000" w:themeColor="text1"/>
                <w:lang w:val="en"/>
              </w:rPr>
              <w:t>Hà</w:t>
            </w:r>
            <w:r w:rsidR="009A0095">
              <w:rPr>
                <w:i/>
                <w:iCs/>
                <w:color w:val="000000" w:themeColor="text1"/>
                <w:lang w:val="en"/>
              </w:rPr>
              <w:t xml:space="preserve"> Nội, ngày     tháng     năm 2026</w:t>
            </w:r>
          </w:p>
        </w:tc>
      </w:tr>
    </w:tbl>
    <w:p w14:paraId="60FFB2BC" w14:textId="77777777" w:rsidR="00A85D45" w:rsidRPr="00CA39BF" w:rsidRDefault="00A85D45" w:rsidP="00CA39BF">
      <w:pPr>
        <w:shd w:val="clear" w:color="auto" w:fill="FFFFFF" w:themeFill="background1"/>
        <w:autoSpaceDE w:val="0"/>
        <w:autoSpaceDN w:val="0"/>
        <w:adjustRightInd w:val="0"/>
        <w:spacing w:line="276" w:lineRule="auto"/>
        <w:jc w:val="center"/>
        <w:rPr>
          <w:b/>
          <w:bCs/>
          <w:color w:val="000000" w:themeColor="text1"/>
          <w:lang w:val="en"/>
        </w:rPr>
      </w:pPr>
      <w:r w:rsidRPr="00CA39BF">
        <w:rPr>
          <w:b/>
          <w:bCs/>
          <w:color w:val="000000" w:themeColor="text1"/>
          <w:lang w:val="en"/>
        </w:rPr>
        <w:t>BÁO CÁO</w:t>
      </w:r>
    </w:p>
    <w:p w14:paraId="4DD28B81" w14:textId="77777777" w:rsidR="009421D3" w:rsidRDefault="00A85D45" w:rsidP="009A0095">
      <w:pPr>
        <w:shd w:val="clear" w:color="auto" w:fill="FFFFFF" w:themeFill="background1"/>
        <w:autoSpaceDE w:val="0"/>
        <w:autoSpaceDN w:val="0"/>
        <w:adjustRightInd w:val="0"/>
        <w:spacing w:line="276" w:lineRule="auto"/>
        <w:ind w:right="-142"/>
        <w:jc w:val="center"/>
        <w:rPr>
          <w:b/>
        </w:rPr>
      </w:pPr>
      <w:r>
        <w:rPr>
          <w:b/>
        </w:rPr>
        <w:t xml:space="preserve">Tổng kết thi hành Nghị định số 163/2025/NĐ-CP ngày 29 tháng 6 năm 2025 của Chính phủ quy định chi tiết một số điều và biện pháp để tổ chức, </w:t>
      </w:r>
    </w:p>
    <w:p w14:paraId="4C78B8E8" w14:textId="213EBB6B" w:rsidR="009A0095" w:rsidRDefault="00A85D45" w:rsidP="009A0095">
      <w:pPr>
        <w:shd w:val="clear" w:color="auto" w:fill="FFFFFF" w:themeFill="background1"/>
        <w:autoSpaceDE w:val="0"/>
        <w:autoSpaceDN w:val="0"/>
        <w:adjustRightInd w:val="0"/>
        <w:spacing w:line="276" w:lineRule="auto"/>
        <w:ind w:right="-142"/>
        <w:jc w:val="center"/>
        <w:rPr>
          <w:b/>
          <w:bCs/>
          <w:color w:val="000000" w:themeColor="text1"/>
        </w:rPr>
      </w:pPr>
      <w:r>
        <w:rPr>
          <w:b/>
        </w:rPr>
        <w:t>hướng dẫn thi hành Luật Dược</w:t>
      </w:r>
    </w:p>
    <w:p w14:paraId="5B021E6B" w14:textId="77777777" w:rsidR="00311E3E" w:rsidRDefault="009A0095" w:rsidP="00311E3E">
      <w:pPr>
        <w:shd w:val="clear" w:color="auto" w:fill="FFFFFF" w:themeFill="background1"/>
        <w:autoSpaceDE w:val="0"/>
        <w:autoSpaceDN w:val="0"/>
        <w:adjustRightInd w:val="0"/>
        <w:spacing w:line="276" w:lineRule="auto"/>
        <w:ind w:right="-142"/>
        <w:jc w:val="center"/>
        <w:rPr>
          <w:b/>
          <w:bCs/>
          <w:color w:val="000000" w:themeColor="text1"/>
        </w:rPr>
      </w:pPr>
      <w:r w:rsidRPr="00CA39BF">
        <w:rPr>
          <w:b/>
          <w:bCs/>
          <w:noProof/>
          <w:color w:val="000000" w:themeColor="text1"/>
        </w:rPr>
        <mc:AlternateContent>
          <mc:Choice Requires="wps">
            <w:drawing>
              <wp:anchor distT="0" distB="0" distL="114300" distR="114300" simplePos="0" relativeHeight="251663360" behindDoc="0" locked="0" layoutInCell="1" allowOverlap="1" wp14:anchorId="08775A03" wp14:editId="65C4DB7C">
                <wp:simplePos x="0" y="0"/>
                <wp:positionH relativeFrom="margin">
                  <wp:posOffset>2179320</wp:posOffset>
                </wp:positionH>
                <wp:positionV relativeFrom="paragraph">
                  <wp:posOffset>56515</wp:posOffset>
                </wp:positionV>
                <wp:extent cx="1492885" cy="0"/>
                <wp:effectExtent l="0" t="0" r="3111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928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9D7FFF" id="Straight Connector 1" o:spid="_x0000_s1026" style="position:absolute;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71.6pt,4.45pt" to="289.1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">
                <w10:wrap anchorx="margin"/>
              </v:line>
            </w:pict>
          </mc:Fallback>
        </mc:AlternateContent>
      </w:r>
    </w:p>
    <w:p w14:paraId="4B5B3AB5" w14:textId="433E4953" w:rsidR="00811580" w:rsidRPr="00F33AAA" w:rsidRDefault="00311E3E" w:rsidP="0012594D">
      <w:pPr>
        <w:shd w:val="clear" w:color="auto" w:fill="FFFFFF" w:themeFill="background1"/>
        <w:autoSpaceDE w:val="0"/>
        <w:autoSpaceDN w:val="0"/>
        <w:adjustRightInd w:val="0"/>
        <w:ind w:right="-142"/>
        <w:jc w:val="both"/>
        <w:rPr>
          <w:spacing w:val="2"/>
        </w:rPr>
      </w:pPr>
      <w:r>
        <w:rPr>
          <w:spacing w:val="2"/>
          <w:lang w:val="sv-SE"/>
        </w:rPr>
        <w:tab/>
      </w:r>
      <w:r w:rsidR="00F33AAA" w:rsidRPr="00F33AAA">
        <w:rPr>
          <w:spacing w:val="2"/>
        </w:rPr>
        <w:t xml:space="preserve">Thực hiện quy định của Luật Ban hành văn bản quy phạm pháp luật, Bộ Y tế đã tiến hành tổng kết việc thi hành Nghị định số 163/2025/NĐ-CP ngày 29/6/2025 của Chính phủ, làm cơ sở đề xuất sửa đổi, bổ sung một số điều của Nghị định nhằm kịp thời tháo gỡ những khó khăn, vướng mắc phát sinh trong thực tiễn, </w:t>
      </w:r>
      <w:r w:rsidR="0097555C">
        <w:rPr>
          <w:spacing w:val="2"/>
        </w:rPr>
        <w:t>cụ thể</w:t>
      </w:r>
      <w:bookmarkStart w:id="0" w:name="_GoBack"/>
      <w:bookmarkEnd w:id="0"/>
      <w:r w:rsidR="00F33AAA" w:rsidRPr="00F33AAA">
        <w:rPr>
          <w:spacing w:val="2"/>
        </w:rPr>
        <w:t xml:space="preserve"> như sau:</w:t>
      </w:r>
    </w:p>
    <w:p w14:paraId="2F4EA871" w14:textId="77777777" w:rsidR="00BE74D9" w:rsidRPr="005B48D9" w:rsidRDefault="00BE74D9" w:rsidP="0012594D">
      <w:pPr>
        <w:shd w:val="clear" w:color="auto" w:fill="FFFFFF" w:themeFill="background1"/>
        <w:jc w:val="both"/>
        <w:rPr>
          <w:spacing w:val="2"/>
          <w:lang w:val="vi"/>
        </w:rPr>
      </w:pPr>
      <w:r w:rsidRPr="005B48D9">
        <w:rPr>
          <w:b/>
          <w:bCs/>
          <w:lang w:val="en"/>
        </w:rPr>
        <w:tab/>
        <w:t>I. B</w:t>
      </w:r>
      <w:r w:rsidRPr="005B48D9">
        <w:rPr>
          <w:b/>
          <w:bCs/>
          <w:lang w:val="vi-VN"/>
        </w:rPr>
        <w:t>ỐI CẢNH THỰC HIỆN TỔNG KẾT</w:t>
      </w:r>
    </w:p>
    <w:p w14:paraId="634E79D2" w14:textId="57614557" w:rsidR="005B7D28" w:rsidRPr="0038388E" w:rsidRDefault="005B7D28" w:rsidP="0012594D">
      <w:pPr>
        <w:shd w:val="clear" w:color="auto" w:fill="FFFFFF" w:themeFill="background1"/>
        <w:autoSpaceDE w:val="0"/>
        <w:autoSpaceDN w:val="0"/>
        <w:adjustRightInd w:val="0"/>
        <w:ind w:firstLine="720"/>
        <w:jc w:val="both"/>
        <w:rPr>
          <w:b/>
          <w:bCs/>
        </w:rPr>
      </w:pPr>
      <w:r w:rsidRPr="0038388E">
        <w:rPr>
          <w:b/>
          <w:bCs/>
        </w:rPr>
        <w:t>1</w:t>
      </w:r>
      <w:r w:rsidR="00692EAC">
        <w:rPr>
          <w:b/>
          <w:bCs/>
        </w:rPr>
        <w:t>.1</w:t>
      </w:r>
      <w:r w:rsidRPr="0038388E">
        <w:rPr>
          <w:b/>
          <w:bCs/>
        </w:rPr>
        <w:t>. Bối cảnh trong nước liên quan đến dự thảo</w:t>
      </w:r>
    </w:p>
    <w:p w14:paraId="54A45597" w14:textId="77777777" w:rsidR="005B7D28" w:rsidRPr="005B7D28" w:rsidRDefault="005B7D28" w:rsidP="0012594D">
      <w:pPr>
        <w:shd w:val="clear" w:color="auto" w:fill="FFFFFF" w:themeFill="background1"/>
        <w:autoSpaceDE w:val="0"/>
        <w:autoSpaceDN w:val="0"/>
        <w:adjustRightInd w:val="0"/>
        <w:ind w:firstLine="720"/>
        <w:jc w:val="both"/>
        <w:rPr>
          <w:bCs/>
        </w:rPr>
      </w:pPr>
      <w:r w:rsidRPr="005B7D28">
        <w:rPr>
          <w:bCs/>
        </w:rPr>
        <w:t>Nghị định số 163/2025/NĐ-CP ngày 29 tháng 6 năm 2025 của Chính phủ quy định chi tiết một số điều và biện pháp để tổ chức, hướng dẫn thi hành Luật Dược được ban hành nhằm cụ thể hóa các quy định của Luật Dược, tạo cơ sở pháp lý cho việc tổ chức thực hiện công tác quản lý nhà nước trong lĩnh vực dược, đồng thời góp phần bảo đảm cung ứng thuốc có chất lượng, an toàn, hiệu quả và đáp ứng nhu cầu chăm sóc sức khỏe của Nhân dân.</w:t>
      </w:r>
    </w:p>
    <w:p w14:paraId="3F7455B3" w14:textId="77777777" w:rsidR="005B7D28" w:rsidRPr="005B7D28" w:rsidRDefault="005B7D28" w:rsidP="0012594D">
      <w:pPr>
        <w:shd w:val="clear" w:color="auto" w:fill="FFFFFF" w:themeFill="background1"/>
        <w:autoSpaceDE w:val="0"/>
        <w:autoSpaceDN w:val="0"/>
        <w:adjustRightInd w:val="0"/>
        <w:ind w:firstLine="720"/>
        <w:jc w:val="both"/>
        <w:rPr>
          <w:bCs/>
        </w:rPr>
      </w:pPr>
      <w:r w:rsidRPr="005B7D28">
        <w:rPr>
          <w:bCs/>
        </w:rPr>
        <w:t>Sau khi Nghị định số 163/2025/NĐ-CP được ban hành và tổ chức thực hiện, hệ thống pháp luật có liên quan tiếp tục được hoàn thiện, trong đó có các quy định về cải cách thủ tục hành chính, cắt giảm, đơn giản hóa điều kiện đầu tư kinh doanh, khai thác và sử dụng dữ liệu trong giải quyết thủ tục hành chính, phân cấp, phân quyền và tổ chức thi hành pháp luật. Những thay đổi này đặt ra yêu cầu tiếp tục rà soát các quy định tại Nghị định số 163/2025/NĐ-CP để bảo đảm tính thống nhất, đồng bộ và phù hợp với quy định pháp luật hiện hành.</w:t>
      </w:r>
    </w:p>
    <w:p w14:paraId="72B09971" w14:textId="77777777" w:rsidR="00F33AAA" w:rsidRPr="00F33AAA" w:rsidRDefault="00F33AAA" w:rsidP="0012594D">
      <w:pPr>
        <w:shd w:val="clear" w:color="auto" w:fill="FFFFFF" w:themeFill="background1"/>
        <w:autoSpaceDE w:val="0"/>
        <w:autoSpaceDN w:val="0"/>
        <w:adjustRightInd w:val="0"/>
        <w:ind w:firstLine="720"/>
        <w:jc w:val="both"/>
        <w:rPr>
          <w:bCs/>
        </w:rPr>
      </w:pPr>
      <w:r w:rsidRPr="00F33AAA">
        <w:rPr>
          <w:bCs/>
        </w:rPr>
        <w:t>Cụ thể, Chính phủ đã ban hành Nghị quyết số 66.7/2025/NQ-CP ngày 15 tháng 11 năm 2025 về cắt giảm, đơn giản hóa thủ tục hành chính dựa trên dữ liệu và Nghị quyết số 66.16/2026/NQ-CP ngày 07 tháng 4 năm 2026 về cắt giảm, đơn giản hóa thủ tục hành chính, quy định liên quan đến hoạt động sản xuất, kinh doanh. Việc triển khai các Nghị quyết này đặt ra yêu cầu tiếp tục rà soát thành phần hồ sơ, trình tự, thủ tục hành chính và các điều kiện kinh doanh trong lĩnh vực dược được quy định tại Nghị định số 163/2025/NĐ-CP theo hướng đơn giản hóa, giảm chi phí tuân thủ, tăng cường khai thác thông tin, dữ liệu đã có và hạn chế yêu cầu tổ chức, cá nhân cung cấp lại những thông tin mà cơ quan nhà nước có thể khai thác được.</w:t>
      </w:r>
    </w:p>
    <w:p w14:paraId="7BFB69F3" w14:textId="77777777" w:rsidR="00F33AAA" w:rsidRDefault="00F33AAA" w:rsidP="0012594D">
      <w:pPr>
        <w:shd w:val="clear" w:color="auto" w:fill="FFFFFF" w:themeFill="background1"/>
        <w:autoSpaceDE w:val="0"/>
        <w:autoSpaceDN w:val="0"/>
        <w:adjustRightInd w:val="0"/>
        <w:ind w:firstLine="720"/>
        <w:jc w:val="both"/>
        <w:rPr>
          <w:bCs/>
        </w:rPr>
      </w:pPr>
      <w:r w:rsidRPr="00F33AAA">
        <w:rPr>
          <w:bCs/>
        </w:rPr>
        <w:t xml:space="preserve">Bên cạnh đó, Quyết định số 1015/QĐ-TTg ngày 30 tháng 8 năm 2022 của Thủ tướng Chính phủ phê duyệt Phương án phân cấp trong giải quyết thủ tục hành chính thuộc phạm vi quản lý của các Bộ, cơ quan ngang Bộ là cơ sở để tiếp tục rà soát các quy định về thẩm quyền giải quyết thủ tục hành chính trong lĩnh </w:t>
      </w:r>
      <w:r w:rsidRPr="00F33AAA">
        <w:rPr>
          <w:bCs/>
        </w:rPr>
        <w:lastRenderedPageBreak/>
        <w:t>vực dược theo hướng đẩy mạnh phân cấp, phân quyền, đồng thời bảo đảm trách nhiệm, tính thống nhất và hiệu quả trong công tác quản lý nhà nước.</w:t>
      </w:r>
    </w:p>
    <w:p w14:paraId="678655A3" w14:textId="0A766365" w:rsidR="00B06743" w:rsidRPr="00F33AAA" w:rsidRDefault="00B06743" w:rsidP="0012594D">
      <w:pPr>
        <w:shd w:val="clear" w:color="auto" w:fill="FFFFFF" w:themeFill="background1"/>
        <w:autoSpaceDE w:val="0"/>
        <w:autoSpaceDN w:val="0"/>
        <w:adjustRightInd w:val="0"/>
        <w:ind w:firstLine="720"/>
        <w:jc w:val="both"/>
        <w:rPr>
          <w:bCs/>
        </w:rPr>
      </w:pPr>
      <w:r w:rsidRPr="00B06743">
        <w:rPr>
          <w:bCs/>
        </w:rPr>
        <w:t xml:space="preserve">Hướng dẫn </w:t>
      </w:r>
      <w:r w:rsidR="00E760C3">
        <w:rPr>
          <w:bCs/>
        </w:rPr>
        <w:t>các nội dung được giao tại</w:t>
      </w:r>
      <w:r w:rsidRPr="00B06743">
        <w:rPr>
          <w:bCs/>
        </w:rPr>
        <w:t xml:space="preserve"> Luật Dược sửa đổi tại dự thảo Luật sửa đổi, bổ sung một số điều của Luật Trẻ em, Luật Người khuyết tật, Luật Khám bệnh, chữa bệnh, Luật Dược, Luật Người cao tuổi và Luật Bảo hiểm y tế.</w:t>
      </w:r>
    </w:p>
    <w:p w14:paraId="50886B82" w14:textId="5484B966" w:rsidR="00A07BFB" w:rsidRDefault="00F33AAA" w:rsidP="0012594D">
      <w:pPr>
        <w:shd w:val="clear" w:color="auto" w:fill="FFFFFF" w:themeFill="background1"/>
        <w:autoSpaceDE w:val="0"/>
        <w:autoSpaceDN w:val="0"/>
        <w:adjustRightInd w:val="0"/>
        <w:ind w:firstLine="720"/>
        <w:jc w:val="both"/>
        <w:rPr>
          <w:bCs/>
          <w:lang w:val="vi-VN"/>
        </w:rPr>
      </w:pPr>
      <w:r w:rsidRPr="00F33AAA">
        <w:rPr>
          <w:bCs/>
        </w:rPr>
        <w:t xml:space="preserve">Ngoài ra, các </w:t>
      </w:r>
      <w:r w:rsidR="009C3B25" w:rsidRPr="009C3B25">
        <w:rPr>
          <w:bCs/>
          <w:lang w:val="vi-VN"/>
        </w:rPr>
        <w:t>vụ việc được cơ quan có thẩm quyền công bố trong giai đoạn 2025-2026 cho thấy yêu cầu tăng cường quản lý là có cơ sở thực tiễn. Tháng 9/2026, Thủ tướng Chính phủ yêu cầu kiểm soát giá thuốc từ nhà sản xuất, nhà cung cấp hoặc cửa khẩu đến doanh nghiệp, bệnh viện và người bệnh; giảm trung gian, số hóa chuỗi cung ứng, liên thông dữ liệu và phòng ngừa trục lợi. Đề nghị sửa đổi phù hợp định hướng này nếu được thiết kế theo nguyên tắc doanh nghiệp tự xác định và chịu trách nhiệm, công khai kịp thời, Nhà nước giám sát dựa trên dữ liệu và rủi ro, không biến công bố giá thành cơ chế phê duyệt giá trước lưu hành.</w:t>
      </w:r>
    </w:p>
    <w:p w14:paraId="02C9727F" w14:textId="49ADEF6D" w:rsidR="00F33AAA" w:rsidRPr="00F33AAA" w:rsidRDefault="00692EAC" w:rsidP="0012594D">
      <w:pPr>
        <w:shd w:val="clear" w:color="auto" w:fill="FFFFFF" w:themeFill="background1"/>
        <w:autoSpaceDE w:val="0"/>
        <w:autoSpaceDN w:val="0"/>
        <w:adjustRightInd w:val="0"/>
        <w:ind w:firstLine="720"/>
        <w:jc w:val="both"/>
        <w:rPr>
          <w:b/>
          <w:bCs/>
        </w:rPr>
      </w:pPr>
      <w:r>
        <w:rPr>
          <w:b/>
          <w:bCs/>
        </w:rPr>
        <w:t>1.</w:t>
      </w:r>
      <w:r w:rsidR="00F33AAA" w:rsidRPr="00F33AAA">
        <w:rPr>
          <w:b/>
          <w:bCs/>
        </w:rPr>
        <w:t xml:space="preserve">2. Bối cảnh quốc tế liên quan đến dự thảo </w:t>
      </w:r>
    </w:p>
    <w:p w14:paraId="47760432" w14:textId="38A49695" w:rsidR="00237F4F" w:rsidRPr="00237F4F" w:rsidRDefault="00692EAC" w:rsidP="0012594D">
      <w:pPr>
        <w:shd w:val="clear" w:color="auto" w:fill="FFFFFF" w:themeFill="background1"/>
        <w:autoSpaceDE w:val="0"/>
        <w:autoSpaceDN w:val="0"/>
        <w:adjustRightInd w:val="0"/>
        <w:ind w:firstLine="720"/>
        <w:jc w:val="both"/>
        <w:rPr>
          <w:b/>
        </w:rPr>
      </w:pPr>
      <w:r>
        <w:rPr>
          <w:b/>
        </w:rPr>
        <w:t>1.2</w:t>
      </w:r>
      <w:r w:rsidR="00237F4F" w:rsidRPr="00237F4F">
        <w:rPr>
          <w:b/>
        </w:rPr>
        <w:t>.1. Hoạt động kinh doanh, xuất khẩu, nhập khẩu thuốc, nguyên liệu làm thuốc</w:t>
      </w:r>
    </w:p>
    <w:p w14:paraId="3FB051BF" w14:textId="0E8B05D7" w:rsidR="00F47C7B" w:rsidRPr="00F47C7B" w:rsidRDefault="00F33AAA" w:rsidP="0012594D">
      <w:pPr>
        <w:shd w:val="clear" w:color="auto" w:fill="FFFFFF" w:themeFill="background1"/>
        <w:autoSpaceDE w:val="0"/>
        <w:autoSpaceDN w:val="0"/>
        <w:adjustRightInd w:val="0"/>
        <w:ind w:firstLine="720"/>
        <w:jc w:val="both"/>
        <w:rPr>
          <w:bCs/>
          <w:lang w:val="vi-VN"/>
        </w:rPr>
      </w:pPr>
      <w:r>
        <w:t>H</w:t>
      </w:r>
      <w:r w:rsidR="00F47C7B" w:rsidRPr="00F47C7B">
        <w:t>oạt động kinh doanh, xuất khẩu, nhập khẩu thuốc, nguyên liệu làm thuốc chịu tác động trực tiếp của quá trình hội nhập và các cam kết quốc tế mà Việt Nam là thành viên. Việc thực hiện các hiệp định thương mại tự do thế hệ mới (CPTPP, EVFTA, …) và các cơ chế hài hòa quy chế dược phẩm trong khu vực ASEAN đặt ra yêu cầu tiếp tục hoàn thiện các quy định về điều kiện kinh doanh dược, xuất khẩu, nhập khẩu thuốc, nguyên liệu làm thuốc theo hướng minh bạch, đơn giản hóa thủ tục hành chính và tăng cường công nhận, thừa nhận kết quả đánh giá, kiểm tra của cơ quan quản lý dược nước ngoài.</w:t>
      </w:r>
    </w:p>
    <w:p w14:paraId="4A1E8252" w14:textId="46B05DCD" w:rsidR="00F47C7B" w:rsidRDefault="00F47C7B" w:rsidP="0012594D">
      <w:pPr>
        <w:shd w:val="clear" w:color="auto" w:fill="FFFFFF" w:themeFill="background1"/>
        <w:autoSpaceDE w:val="0"/>
        <w:autoSpaceDN w:val="0"/>
        <w:adjustRightInd w:val="0"/>
        <w:jc w:val="both"/>
      </w:pPr>
      <w:r w:rsidRPr="00F47C7B">
        <w:tab/>
        <w:t>Bên cạnh đó, chuỗi cung ứng dược phẩm toàn cầu tiếp tục có nhiều biến động, trong khi sản xuất thuốc trong nước còn phụ thuộc vào nguồn nguyên liệu nhập khẩu. Các doanh nghiệp dược Việt Nam từng bước tham gia sâu hơn vào chuỗi giá trị dược phẩm toàn cầu thông qua hoạt động sản xuất gia công, sản xuất bán thành phẩm thuốc để xuất khẩu; nhiều nước nhập khẩu yêu cầu thuốc xuất khẩu phải có Giấy chứng nhận sản phẩm dược (CPP) theo Hệ thống chứng nhận chất lượng của Tổ chức Y tế thế giới do cơ quan quản lý dược nước xuất khẩu cấp. Thực tiễn này đòi hỏi khung pháp lý về cấp phép nhập khẩu nguyên liệu làm thuốc để sản xuất thuốc xuất khẩu, bán thành phẩm thuốc xuất khẩu và về cấp CPP phải được quy định đầy đủ, rõ ràng nhằm hỗ trợ xuất khẩu, nâng cao năng lực cạnh tranh của ngành dược trong nước.</w:t>
      </w:r>
      <w:r>
        <w:rPr>
          <w:bCs/>
        </w:rPr>
        <w:t xml:space="preserve"> </w:t>
      </w:r>
      <w:r w:rsidRPr="00F47C7B">
        <w:t>Đồng thời, việc mua sắm vắc xin, thuốc phục vụ các chương trình y tế của Nhà nước thông qua các tổ chức quốc tế (UNICEF, GAVI...) theo hình thức lựa chọn nhà thầu trong trường hợp đặc biệt được thực hiện theo quy tắc, quy trình riêng của các tổ chức này.</w:t>
      </w:r>
    </w:p>
    <w:p w14:paraId="540760FB" w14:textId="13CA8FD9" w:rsidR="00F33AAA" w:rsidRDefault="00F33AAA" w:rsidP="0012594D">
      <w:pPr>
        <w:shd w:val="clear" w:color="auto" w:fill="FFFFFF" w:themeFill="background1"/>
        <w:autoSpaceDE w:val="0"/>
        <w:autoSpaceDN w:val="0"/>
        <w:adjustRightInd w:val="0"/>
        <w:jc w:val="both"/>
        <w:rPr>
          <w:b/>
        </w:rPr>
      </w:pPr>
      <w:r>
        <w:tab/>
      </w:r>
      <w:r w:rsidR="00692EAC" w:rsidRPr="00692EAC">
        <w:rPr>
          <w:b/>
        </w:rPr>
        <w:t>1.</w:t>
      </w:r>
      <w:r w:rsidR="00692EAC">
        <w:rPr>
          <w:b/>
        </w:rPr>
        <w:t>2</w:t>
      </w:r>
      <w:r w:rsidR="00237F4F" w:rsidRPr="00692EAC">
        <w:rPr>
          <w:b/>
        </w:rPr>
        <w:t>.2</w:t>
      </w:r>
      <w:r w:rsidRPr="00692EAC">
        <w:rPr>
          <w:b/>
        </w:rPr>
        <w:t xml:space="preserve">. </w:t>
      </w:r>
      <w:r w:rsidRPr="00692EAC">
        <w:rPr>
          <w:b/>
          <w:bCs/>
        </w:rPr>
        <w:t>Thực tiễn triển khai quy định về đánh giá đáp ứng thực hành tốt sản xuất thuốc (GMP</w:t>
      </w:r>
      <w:r w:rsidRPr="00F33AAA">
        <w:rPr>
          <w:b/>
          <w:bCs/>
        </w:rPr>
        <w:t>)</w:t>
      </w:r>
    </w:p>
    <w:p w14:paraId="4326A767" w14:textId="036FB2CC" w:rsidR="00383021" w:rsidRDefault="00F33AAA" w:rsidP="0012594D">
      <w:pPr>
        <w:shd w:val="clear" w:color="auto" w:fill="FFFFFF" w:themeFill="background1"/>
        <w:autoSpaceDE w:val="0"/>
        <w:autoSpaceDN w:val="0"/>
        <w:adjustRightInd w:val="0"/>
        <w:jc w:val="both"/>
        <w:rPr>
          <w:bCs/>
        </w:rPr>
      </w:pPr>
      <w:r>
        <w:rPr>
          <w:b/>
        </w:rPr>
        <w:tab/>
      </w:r>
      <w:r w:rsidRPr="00F33AAA">
        <w:rPr>
          <w:bCs/>
        </w:rPr>
        <w:t xml:space="preserve">Quy định về đánh giá đáp ứng thực hành tốt sản xuất thuốc (GMP) tại Nghị định số 163/2025/NĐ-CP được kế thừa từ các quy định đã triển khai tại </w:t>
      </w:r>
      <w:r w:rsidRPr="00F33AAA">
        <w:rPr>
          <w:bCs/>
        </w:rPr>
        <w:lastRenderedPageBreak/>
        <w:t xml:space="preserve">Nghị định số 54/2017/NĐ-CP và Nghị định số 155/2018/NĐ-CP. </w:t>
      </w:r>
      <w:r w:rsidR="00383021" w:rsidRPr="00383021">
        <w:rPr>
          <w:bCs/>
        </w:rPr>
        <w:t>Tuy nhiên, hiện nay một số cơ quan quản lý dược nước ngoài áp dụng hình thức đánh giá từ xa (desktop assessment) qua các phương tiện từ xa và không lập báo cáo thanh tra hoặc biên bản kiểm tra GMP, chỉ ghi nhận và Giấy chứng nhận sau khi cơ sở được đánh giá đã đáp ứng. Vì vậy, đòi hỏi quy định pháp luật có liên quan được thay đổi cho phù hợp</w:t>
      </w:r>
    </w:p>
    <w:p w14:paraId="52BBA561" w14:textId="5EE82BA2" w:rsidR="00F33AAA" w:rsidRPr="00F33AAA" w:rsidRDefault="00383021" w:rsidP="0012594D">
      <w:pPr>
        <w:shd w:val="clear" w:color="auto" w:fill="FFFFFF" w:themeFill="background1"/>
        <w:autoSpaceDE w:val="0"/>
        <w:autoSpaceDN w:val="0"/>
        <w:adjustRightInd w:val="0"/>
        <w:jc w:val="both"/>
        <w:rPr>
          <w:b/>
        </w:rPr>
      </w:pPr>
      <w:r>
        <w:rPr>
          <w:bCs/>
        </w:rPr>
        <w:tab/>
      </w:r>
      <w:r w:rsidR="00F33AAA" w:rsidRPr="00F33AAA">
        <w:rPr>
          <w:bCs/>
        </w:rPr>
        <w:t>Trên cơ sở thực tiễn triển khai, nhằm kịp thời tháo gỡ các khó khăn, vướng mắc, bảo đảm phù hợp với quy định pháp luật hiện hành và thông lệ quốc tế, Nghị định số 163/2025/NĐ-CP đã sửa đổi, bổ sung một số quy định về đánh giá đáp ứng GMP và được thực hiện từ ngày 01 tháng 7 năm 2025.</w:t>
      </w:r>
    </w:p>
    <w:p w14:paraId="1D647A3E" w14:textId="33B2717E" w:rsidR="00F33AAA" w:rsidRPr="00F33AAA" w:rsidRDefault="00F33AAA" w:rsidP="0012594D">
      <w:pPr>
        <w:shd w:val="clear" w:color="auto" w:fill="FFFFFF" w:themeFill="background1"/>
        <w:autoSpaceDE w:val="0"/>
        <w:autoSpaceDN w:val="0"/>
        <w:adjustRightInd w:val="0"/>
        <w:ind w:firstLine="720"/>
        <w:jc w:val="both"/>
        <w:rPr>
          <w:bCs/>
        </w:rPr>
      </w:pPr>
      <w:r w:rsidRPr="00F33AAA">
        <w:rPr>
          <w:bCs/>
        </w:rPr>
        <w:t>Theo quy định tại Nghị định số 163/2025/NĐ-CP, việc đánh giá đáp ứng GMP được thực hiện thông qua 03 hình thức, cụ thể như sau:</w:t>
      </w:r>
    </w:p>
    <w:p w14:paraId="6467192E" w14:textId="77777777" w:rsidR="000873F0" w:rsidRPr="005B48D9" w:rsidRDefault="000873F0" w:rsidP="0012594D">
      <w:pPr>
        <w:shd w:val="clear" w:color="auto" w:fill="FFFFFF" w:themeFill="background1"/>
        <w:autoSpaceDE w:val="0"/>
        <w:autoSpaceDN w:val="0"/>
        <w:adjustRightInd w:val="0"/>
        <w:ind w:firstLine="720"/>
        <w:jc w:val="both"/>
        <w:rPr>
          <w:bCs/>
        </w:rPr>
      </w:pPr>
      <w:r w:rsidRPr="005B48D9">
        <w:rPr>
          <w:bCs/>
        </w:rPr>
        <w:t>- Hình thức 1: Thẩm định hồ sơ liên quan đến điều kiện sản xuất, áp dụng đối với cơ sở sản xuất không thuộc trường hợp được đánh giá theo hình thức công nhận, thừa nhận.</w:t>
      </w:r>
    </w:p>
    <w:p w14:paraId="54A4B8A8" w14:textId="77777777" w:rsidR="000873F0" w:rsidRPr="005B48D9" w:rsidRDefault="000873F0" w:rsidP="0012594D">
      <w:pPr>
        <w:shd w:val="clear" w:color="auto" w:fill="FFFFFF" w:themeFill="background1"/>
        <w:autoSpaceDE w:val="0"/>
        <w:autoSpaceDN w:val="0"/>
        <w:adjustRightInd w:val="0"/>
        <w:ind w:firstLine="720"/>
        <w:jc w:val="both"/>
        <w:rPr>
          <w:bCs/>
        </w:rPr>
      </w:pPr>
      <w:r w:rsidRPr="005B48D9">
        <w:rPr>
          <w:bCs/>
        </w:rPr>
        <w:t>- Hình thức 2: Công nhận, thừa nhận kết quả thanh tra, kiểm tra của cơ quan quản lý nhà nước về dược đối với yêu cầu đáp ứng thực hành tốt sản xuất, áp dụng đối với các trường hợp như cơ sở sản xuất thuộc các nước có ký điều ước quốc tế về thừa nhận lẫn nhau kết quả kiểm tra GMP; cơ sở sản xuất thuộc các nước có cơ quan có thẩm quyền về dược là cơ quan quản lý dược chặt chẽ (SRA) hoặc cơ quan quản lý dược được Bộ Y tế công nhận trên cơ sở phân loại của Tổ chức Y tế thế giới và được một trong các cơ quan này kiểm tra, đánh giá đáp ứng GMP.</w:t>
      </w:r>
    </w:p>
    <w:p w14:paraId="37CFFB71" w14:textId="76ACFB91" w:rsidR="000873F0" w:rsidRPr="005B48D9" w:rsidRDefault="000873F0" w:rsidP="0012594D">
      <w:pPr>
        <w:shd w:val="clear" w:color="auto" w:fill="FFFFFF" w:themeFill="background1"/>
        <w:autoSpaceDE w:val="0"/>
        <w:autoSpaceDN w:val="0"/>
        <w:adjustRightInd w:val="0"/>
        <w:ind w:firstLine="720"/>
        <w:jc w:val="both"/>
        <w:rPr>
          <w:bCs/>
        </w:rPr>
      </w:pPr>
      <w:r w:rsidRPr="005B48D9">
        <w:rPr>
          <w:bCs/>
        </w:rPr>
        <w:t>- Hình thức 3: Kiểm tra tại cơ sở sản xuất, áp dụng đối với các trường hợp theo quy định của Nghị định số 163/2025/NĐ-CP, trong đó có trường hợp cơ sở có dấu hiệu sửa chữa hoặc nghi ngờ về tính xác thực của thông tin, dữ liệu trong hồ sơ; cơ sở sản xuất có thuốc vi phạm chất lượng mức độ 1; hồ sơ đề nghị đánh giá điều kiện sản xuất không đủ căn cứ chứng minh cơ sở sản xuất đáp ứng GMP; cơ sở lần đầu có thuốc, nguyên liệu làm thuốc đăng ký lưu hành tại Việt Nam, trừ các trường hợp thuộc diện được công nhận, thừa nhận hoặc đã được đánh giá, chứng nhận đáp ứng GMP bởi cơ quan quản lý dược chặt chẽ (SRA) hoặc cơ quan quản lý dược được Bộ Y tế công nhận trên cơ sở phân loại của Tổ chức Y tế thế giới.</w:t>
      </w:r>
    </w:p>
    <w:p w14:paraId="40EDF664" w14:textId="77777777" w:rsidR="000873F0" w:rsidRPr="005B48D9" w:rsidRDefault="000873F0" w:rsidP="0012594D">
      <w:pPr>
        <w:shd w:val="clear" w:color="auto" w:fill="FFFFFF" w:themeFill="background1"/>
        <w:autoSpaceDE w:val="0"/>
        <w:autoSpaceDN w:val="0"/>
        <w:adjustRightInd w:val="0"/>
        <w:ind w:firstLine="720"/>
        <w:jc w:val="both"/>
        <w:rPr>
          <w:bCs/>
        </w:rPr>
      </w:pPr>
      <w:r w:rsidRPr="005B48D9">
        <w:rPr>
          <w:bCs/>
        </w:rPr>
        <w:t>Việc áp dụng các hình thức đánh giá GMP nêu trên được triển khai tại Việt Nam từ sau khi Luật Dược năm 2016 được ban hành, tạo cơ chế đánh giá phù hợp đối với cơ sở sản xuất thuốc, nguyên liệu làm thuốc trong nước và nước ngoài. Việc kết hợp giữa thẩm định hồ sơ, công nhận, thừa nhận kết quả đánh giá của cơ quan quản lý dược nước ngoài và kiểm tra trực tiếp tại cơ sở góp phần bảo đảm áp dụng yêu cầu GMP đối với các cơ sở sản xuất thuốc, nguyên liệu làm thuốc và kiểm soát chất lượng thuốc nhập khẩu vào Việt Nam.</w:t>
      </w:r>
    </w:p>
    <w:p w14:paraId="2C27430D" w14:textId="4341820B" w:rsidR="00DC7CBC" w:rsidRDefault="000873F0" w:rsidP="0012594D">
      <w:pPr>
        <w:shd w:val="clear" w:color="auto" w:fill="FFFFFF" w:themeFill="background1"/>
        <w:autoSpaceDE w:val="0"/>
        <w:autoSpaceDN w:val="0"/>
        <w:adjustRightInd w:val="0"/>
        <w:ind w:firstLine="720"/>
        <w:jc w:val="both"/>
        <w:rPr>
          <w:bCs/>
        </w:rPr>
      </w:pPr>
      <w:r w:rsidRPr="005B48D9">
        <w:rPr>
          <w:bCs/>
        </w:rPr>
        <w:t xml:space="preserve">Trong quá trình thực hiện, việc đánh giá đáp ứng GMP đối với cơ sở sản xuất nước ngoài được thực hiện với số lượng lớn. Từ năm 2018 đến tháng 6/2025, Cục Quản lý Dược đã đánh giá 9.466 hồ sơ đề nghị đánh giá đáp ứng </w:t>
      </w:r>
      <w:r w:rsidRPr="005B48D9">
        <w:rPr>
          <w:bCs/>
        </w:rPr>
        <w:lastRenderedPageBreak/>
        <w:t>GMP của 1.906 cơ sở sản xuất nước ngoài, trong đó có 879 cơ sở sản xuất thuộc các nước SRA được đánh giá theo hình thức thừa nhận và 1.027 cơ sở sản xuất tại các nước khác được đánh giá theo hình thức đánh giá trên hồ sơ.</w:t>
      </w:r>
      <w:r w:rsidR="009C3B25">
        <w:rPr>
          <w:bCs/>
        </w:rPr>
        <w:t xml:space="preserve"> </w:t>
      </w:r>
      <w:r w:rsidRPr="005B48D9">
        <w:rPr>
          <w:bCs/>
        </w:rPr>
        <w:t>Từ tháng 7/2025 đến nay, sau khi Nghị định số 163/2025/NĐ-CP được triển khai, Cục Quản lý Dược đã tiến hành đánh giá 2.593 hồ sơ đề nghị, trong đó có 1.452 hồ sơ được đánh giá theo hình thức công nhận, thừa nhận (bao gồm 737 hồ sơ cập nhật tình trạng đáp ứng) và 1.141 hồ sơ được đánh giá theo hình thức đánh giá trên hồ sơ.</w:t>
      </w:r>
      <w:r w:rsidR="009C3B25">
        <w:rPr>
          <w:bCs/>
        </w:rPr>
        <w:t xml:space="preserve"> </w:t>
      </w:r>
      <w:r w:rsidRPr="005B48D9">
        <w:rPr>
          <w:bCs/>
        </w:rPr>
        <w:t>Kết quả trên cho thấy các quy định về đánh giá đáp ứng GMP tại Nghị định số 163/2025/NĐ-CP đã được triển khai trên thực tế với khối lượng hồ sơ lớn, trong đó cơ chế công nhận, thừa nhận kết quả đánh giá của cơ quan quản lý dược nước ngoài được áp dụng đối với nhiều trường hợp, góp phần giảm việc đánh giá trùng lặp và tạo thuận lợi trong giải quyết thủ tục hành chính, đồng thời vẫn duy trì yêu cầu kiểm soát đối với các trường hợp cần thiết phải đánh giá hồ sơ hoặc kiểm t</w:t>
      </w:r>
      <w:r w:rsidR="00383021">
        <w:rPr>
          <w:bCs/>
        </w:rPr>
        <w:t>ra trực tiếp tại cơ sở sản xuất</w:t>
      </w:r>
      <w:r w:rsidR="00DC7CBC">
        <w:rPr>
          <w:bCs/>
        </w:rPr>
        <w:t>.</w:t>
      </w:r>
    </w:p>
    <w:p w14:paraId="5FB8C0BE" w14:textId="794410E7" w:rsidR="00F33AAA" w:rsidRPr="00F33AAA" w:rsidRDefault="00692EAC" w:rsidP="0012594D">
      <w:pPr>
        <w:shd w:val="clear" w:color="auto" w:fill="FFFFFF" w:themeFill="background1"/>
        <w:autoSpaceDE w:val="0"/>
        <w:autoSpaceDN w:val="0"/>
        <w:adjustRightInd w:val="0"/>
        <w:ind w:firstLine="720"/>
        <w:jc w:val="both"/>
        <w:rPr>
          <w:b/>
          <w:bCs/>
        </w:rPr>
      </w:pPr>
      <w:r>
        <w:rPr>
          <w:b/>
          <w:bCs/>
        </w:rPr>
        <w:t>1.3</w:t>
      </w:r>
      <w:r w:rsidR="00F33AAA" w:rsidRPr="00F33AAA">
        <w:rPr>
          <w:b/>
          <w:bCs/>
        </w:rPr>
        <w:t xml:space="preserve">. Sự cần thiết tổng kết, sửa dổi, bổ sung Nghị định </w:t>
      </w:r>
    </w:p>
    <w:p w14:paraId="62BBF20A" w14:textId="18649103" w:rsidR="005B7D28" w:rsidRPr="005B7D28" w:rsidRDefault="00F33AAA" w:rsidP="0012594D">
      <w:pPr>
        <w:shd w:val="clear" w:color="auto" w:fill="FFFFFF" w:themeFill="background1"/>
        <w:autoSpaceDE w:val="0"/>
        <w:autoSpaceDN w:val="0"/>
        <w:adjustRightInd w:val="0"/>
        <w:ind w:firstLine="720"/>
        <w:jc w:val="both"/>
        <w:rPr>
          <w:bCs/>
        </w:rPr>
      </w:pPr>
      <w:r w:rsidRPr="00F33AAA">
        <w:rPr>
          <w:bCs/>
        </w:rPr>
        <w:t>Từ bối cảnh pháp luật trong nước, yêu cầu cải cách thủ tục hành chính, phân cấp, phân quyền, thực tiễn hội nhập quốc tế và quá trình triển khai các quy định về đánh giá đáp ứng GMP nêu trên</w:t>
      </w:r>
      <w:r w:rsidR="005B7D28" w:rsidRPr="005B7D28">
        <w:rPr>
          <w:bCs/>
        </w:rPr>
        <w:t xml:space="preserve">, việc tổng kết thi hành Nghị định số 163/2025/NĐ-CP là cần thiết nhằm đánh giá đầy đủ kết quả đạt được, những ưu điểm, hạn chế, khó khăn, vướng mắc và vấn đề mới phát sinh trong quá trình tổ chức thực hiện; </w:t>
      </w:r>
      <w:r w:rsidR="006677B8">
        <w:rPr>
          <w:bCs/>
        </w:rPr>
        <w:t xml:space="preserve">cơ sở để </w:t>
      </w:r>
      <w:r w:rsidR="005B7D28" w:rsidRPr="005B7D28">
        <w:rPr>
          <w:bCs/>
        </w:rPr>
        <w:t>rà soát sự phù hợp của các quy định với chủ trương, đường lối của Đảng, hệ thống pháp luật hiện hành và các điều ước quốc tế có liên quan, làm cơ sở đề xuất sửa đổi, bổ sung Nghị định, bảo đảm tính thống nhất, đồng bộ, khả thi và phù hợp với yêu cầu thực tiễn.</w:t>
      </w:r>
    </w:p>
    <w:p w14:paraId="5F414A5D" w14:textId="77777777" w:rsidR="005B7D28" w:rsidRPr="005B7D28" w:rsidRDefault="005B7D28" w:rsidP="0012594D">
      <w:pPr>
        <w:shd w:val="clear" w:color="auto" w:fill="FFFFFF" w:themeFill="background1"/>
        <w:autoSpaceDE w:val="0"/>
        <w:autoSpaceDN w:val="0"/>
        <w:adjustRightInd w:val="0"/>
        <w:ind w:firstLine="720"/>
        <w:jc w:val="both"/>
        <w:rPr>
          <w:b/>
          <w:bCs/>
        </w:rPr>
      </w:pPr>
      <w:r w:rsidRPr="005B7D28">
        <w:rPr>
          <w:b/>
          <w:bCs/>
        </w:rPr>
        <w:t>2. Quá trình thực hiện tổng kết</w:t>
      </w:r>
    </w:p>
    <w:p w14:paraId="66CEBEBB" w14:textId="77777777" w:rsidR="005B7D28" w:rsidRPr="005B7D28" w:rsidRDefault="005B7D28" w:rsidP="0012594D">
      <w:pPr>
        <w:shd w:val="clear" w:color="auto" w:fill="FFFFFF" w:themeFill="background1"/>
        <w:autoSpaceDE w:val="0"/>
        <w:autoSpaceDN w:val="0"/>
        <w:adjustRightInd w:val="0"/>
        <w:ind w:firstLine="720"/>
        <w:jc w:val="both"/>
        <w:rPr>
          <w:bCs/>
        </w:rPr>
      </w:pPr>
      <w:r w:rsidRPr="005B7D28">
        <w:rPr>
          <w:bCs/>
        </w:rPr>
        <w:t>Thực hiện quy định của Luật Ban hành văn bản quy phạm pháp luật năm 2025 về tổng kết việc thi hành pháp luật, Bộ Y tế đã tổ chức rà soát, đánh giá tình hình thi hành Nghị định số 163/2025/NĐ-CP trên cơ sở tổng hợp tình hình thực hiện, các khó khăn, vướng mắc và đề xuất của các đơn vị thuộc Bộ Y tế, địa phương, cơ sở kinh doanh dược và các cơ quan, tổ chức có liên quan.</w:t>
      </w:r>
    </w:p>
    <w:p w14:paraId="2477E9D2" w14:textId="51BEF8E0" w:rsidR="005B7D28" w:rsidRPr="005B7D28" w:rsidRDefault="005B7D28" w:rsidP="0012594D">
      <w:pPr>
        <w:shd w:val="clear" w:color="auto" w:fill="FFFFFF" w:themeFill="background1"/>
        <w:autoSpaceDE w:val="0"/>
        <w:autoSpaceDN w:val="0"/>
        <w:adjustRightInd w:val="0"/>
        <w:ind w:firstLine="720"/>
        <w:jc w:val="both"/>
        <w:rPr>
          <w:bCs/>
        </w:rPr>
      </w:pPr>
      <w:r w:rsidRPr="005B7D28">
        <w:rPr>
          <w:bCs/>
        </w:rPr>
        <w:t>Quá trình tổng kết được thực hiện thông qua các nội dung sau:</w:t>
      </w:r>
    </w:p>
    <w:p w14:paraId="2751E79F" w14:textId="77777777" w:rsidR="005B7D28" w:rsidRPr="005B7D28" w:rsidRDefault="005B7D28" w:rsidP="0012594D">
      <w:pPr>
        <w:shd w:val="clear" w:color="auto" w:fill="FFFFFF" w:themeFill="background1"/>
        <w:autoSpaceDE w:val="0"/>
        <w:autoSpaceDN w:val="0"/>
        <w:adjustRightInd w:val="0"/>
        <w:ind w:firstLine="720"/>
        <w:jc w:val="both"/>
        <w:rPr>
          <w:bCs/>
        </w:rPr>
      </w:pPr>
      <w:r w:rsidRPr="005B7D28">
        <w:rPr>
          <w:bCs/>
        </w:rPr>
        <w:t>(1) Rà soát các quy định của Nghị định số 163/2025/NĐ-CP và tình hình tổ chức thực hiện trên thực tế; xác định các quy định còn có cách hiểu khác nhau, chưa phù hợp hoặc phát sinh vướng mắc trong quá trình áp dụng.</w:t>
      </w:r>
    </w:p>
    <w:p w14:paraId="0C2F796F" w14:textId="77777777" w:rsidR="005B7D28" w:rsidRPr="005B7D28" w:rsidRDefault="005B7D28" w:rsidP="0012594D">
      <w:pPr>
        <w:shd w:val="clear" w:color="auto" w:fill="FFFFFF" w:themeFill="background1"/>
        <w:autoSpaceDE w:val="0"/>
        <w:autoSpaceDN w:val="0"/>
        <w:adjustRightInd w:val="0"/>
        <w:ind w:firstLine="720"/>
        <w:jc w:val="both"/>
        <w:rPr>
          <w:bCs/>
        </w:rPr>
      </w:pPr>
      <w:r w:rsidRPr="005B7D28">
        <w:rPr>
          <w:bCs/>
        </w:rPr>
        <w:t>(2) Tổng hợp, phân tích các khó khăn, vướng mắc và đề xuất của các cơ quan, đơn vị, địa phương, doanh nghiệp và tổ chức có liên quan; xác định nguyên nhân của những khó khăn, vướng mắc, bao gồm nguyên nhân từ quy định pháp luật và nguyên nhân trong quá trình tổ chức thực hiện.</w:t>
      </w:r>
    </w:p>
    <w:p w14:paraId="1452536B" w14:textId="77777777" w:rsidR="005B7D28" w:rsidRPr="005B7D28" w:rsidRDefault="005B7D28" w:rsidP="0012594D">
      <w:pPr>
        <w:shd w:val="clear" w:color="auto" w:fill="FFFFFF" w:themeFill="background1"/>
        <w:autoSpaceDE w:val="0"/>
        <w:autoSpaceDN w:val="0"/>
        <w:adjustRightInd w:val="0"/>
        <w:ind w:firstLine="720"/>
        <w:jc w:val="both"/>
        <w:rPr>
          <w:bCs/>
        </w:rPr>
      </w:pPr>
      <w:r w:rsidRPr="005B7D28">
        <w:rPr>
          <w:bCs/>
        </w:rPr>
        <w:t>(3) Rà soát các chủ trương, đường lối của Đảng, văn bản quy phạm pháp luật có liên quan và các điều ước quốc tế mà Việt Nam là thành viên có liên quan đến các nội dung dự kiến sửa đổi, bổ sung Nghị định số 163/2025/NĐ-CP; đánh giá tính phù hợp, thống nhất và tương thích của các quy định dự kiến sửa đổi, bổ sung.</w:t>
      </w:r>
    </w:p>
    <w:p w14:paraId="3556FD46" w14:textId="77777777" w:rsidR="005B7D28" w:rsidRPr="005B7D28" w:rsidRDefault="005B7D28" w:rsidP="0012594D">
      <w:pPr>
        <w:shd w:val="clear" w:color="auto" w:fill="FFFFFF" w:themeFill="background1"/>
        <w:autoSpaceDE w:val="0"/>
        <w:autoSpaceDN w:val="0"/>
        <w:adjustRightInd w:val="0"/>
        <w:ind w:firstLine="720"/>
        <w:jc w:val="both"/>
        <w:rPr>
          <w:bCs/>
        </w:rPr>
      </w:pPr>
      <w:r w:rsidRPr="005B7D28">
        <w:rPr>
          <w:bCs/>
        </w:rPr>
        <w:lastRenderedPageBreak/>
        <w:t>(4) Tổ chức lấy ý kiến các cơ quan, đơn vị, địa phương và các tổ chức, cá nhân có liên quan về tình hình thi hành Nghị định số 163/2025/NĐ-CP và các nội dung dự kiến sửa đổi, bổ sung.</w:t>
      </w:r>
    </w:p>
    <w:p w14:paraId="653F3241" w14:textId="77777777" w:rsidR="005B7D28" w:rsidRPr="005B7D28" w:rsidRDefault="005B7D28" w:rsidP="0012594D">
      <w:pPr>
        <w:shd w:val="clear" w:color="auto" w:fill="FFFFFF" w:themeFill="background1"/>
        <w:autoSpaceDE w:val="0"/>
        <w:autoSpaceDN w:val="0"/>
        <w:adjustRightInd w:val="0"/>
        <w:ind w:firstLine="720"/>
        <w:jc w:val="both"/>
        <w:rPr>
          <w:bCs/>
        </w:rPr>
      </w:pPr>
      <w:r w:rsidRPr="005B7D28">
        <w:rPr>
          <w:bCs/>
        </w:rPr>
        <w:t>(5) Tổng hợp, nghiên cứu, tiếp thu, giải trình ý kiến góp ý; hoàn thiện Báo cáo tổng kết thi hành Nghị định số 163/2025/NĐ-CP và đề xuất các nội dung sửa đổi, bổ sung Nghị định.</w:t>
      </w:r>
    </w:p>
    <w:p w14:paraId="0769D7D5" w14:textId="45FF0423" w:rsidR="00BE74D9" w:rsidRPr="005B48D9" w:rsidRDefault="00BE74D9" w:rsidP="0012594D">
      <w:pPr>
        <w:shd w:val="clear" w:color="auto" w:fill="FFFFFF" w:themeFill="background1"/>
        <w:jc w:val="both"/>
        <w:rPr>
          <w:spacing w:val="2"/>
          <w:lang w:val="vi"/>
        </w:rPr>
      </w:pPr>
      <w:r w:rsidRPr="005B48D9">
        <w:rPr>
          <w:spacing w:val="2"/>
          <w:lang w:val="vi"/>
        </w:rPr>
        <w:tab/>
      </w:r>
      <w:r w:rsidRPr="005B48D9">
        <w:rPr>
          <w:b/>
          <w:bCs/>
          <w:lang w:val="en"/>
        </w:rPr>
        <w:t>II. K</w:t>
      </w:r>
      <w:r w:rsidRPr="005B48D9">
        <w:rPr>
          <w:b/>
          <w:bCs/>
          <w:lang w:val="vi-VN"/>
        </w:rPr>
        <w:t>ẾT QUẢ THỰC HIỆN</w:t>
      </w:r>
    </w:p>
    <w:p w14:paraId="0289B12B" w14:textId="77777777" w:rsidR="00BE74D9" w:rsidRPr="005B48D9" w:rsidRDefault="00BE74D9" w:rsidP="0012594D">
      <w:pPr>
        <w:shd w:val="clear" w:color="auto" w:fill="FFFFFF" w:themeFill="background1"/>
        <w:autoSpaceDE w:val="0"/>
        <w:autoSpaceDN w:val="0"/>
        <w:adjustRightInd w:val="0"/>
        <w:jc w:val="both"/>
        <w:rPr>
          <w:b/>
          <w:bCs/>
          <w:lang w:val="vi-VN"/>
        </w:rPr>
      </w:pPr>
      <w:r w:rsidRPr="005B48D9">
        <w:rPr>
          <w:b/>
          <w:bCs/>
          <w:lang w:val="en"/>
        </w:rPr>
        <w:tab/>
        <w:t>1. Công tác ch</w:t>
      </w:r>
      <w:r w:rsidRPr="005B48D9">
        <w:rPr>
          <w:b/>
          <w:bCs/>
          <w:lang w:val="vi-VN"/>
        </w:rPr>
        <w:t>ỉ đạo, triển khai v</w:t>
      </w:r>
      <w:r w:rsidRPr="005B48D9">
        <w:rPr>
          <w:b/>
          <w:bCs/>
        </w:rPr>
        <w:t>à t</w:t>
      </w:r>
      <w:r w:rsidRPr="005B48D9">
        <w:rPr>
          <w:b/>
          <w:bCs/>
          <w:lang w:val="vi-VN"/>
        </w:rPr>
        <w:t>ổ chức thi h</w:t>
      </w:r>
      <w:r w:rsidRPr="005B48D9">
        <w:rPr>
          <w:b/>
          <w:bCs/>
        </w:rPr>
        <w:t>ành văn b</w:t>
      </w:r>
      <w:r w:rsidRPr="005B48D9">
        <w:rPr>
          <w:b/>
          <w:bCs/>
          <w:lang w:val="vi-VN"/>
        </w:rPr>
        <w:t>ản quy phạm ph</w:t>
      </w:r>
      <w:r w:rsidRPr="005B48D9">
        <w:rPr>
          <w:b/>
          <w:bCs/>
        </w:rPr>
        <w:t>áp lu</w:t>
      </w:r>
      <w:r w:rsidRPr="005B48D9">
        <w:rPr>
          <w:b/>
          <w:bCs/>
          <w:lang w:val="vi-VN"/>
        </w:rPr>
        <w:t>ật</w:t>
      </w:r>
    </w:p>
    <w:p w14:paraId="719C5C99" w14:textId="13A01DDC" w:rsidR="00613560" w:rsidRPr="005B48D9" w:rsidRDefault="00FD14DB" w:rsidP="0012594D">
      <w:pPr>
        <w:shd w:val="clear" w:color="auto" w:fill="FFFFFF" w:themeFill="background1"/>
        <w:jc w:val="both"/>
        <w:rPr>
          <w:spacing w:val="2"/>
        </w:rPr>
      </w:pPr>
      <w:r w:rsidRPr="005B48D9">
        <w:rPr>
          <w:bCs/>
        </w:rPr>
        <w:tab/>
      </w:r>
      <w:r w:rsidR="00613560" w:rsidRPr="005B48D9">
        <w:rPr>
          <w:spacing w:val="2"/>
        </w:rPr>
        <w:t>Bộ Y tế đã tổ chức rà soát, nghiên cứu, đánh giá các quy định của Nghị định số 163/2025/NĐ-CP và tình hình triển khai thực hiện trên thực tế; đồng thời tổng hợp các khó khăn, vướng mắc phát sinh trong quá trình thực hiện.</w:t>
      </w:r>
      <w:r w:rsidR="00141F2A">
        <w:rPr>
          <w:spacing w:val="2"/>
        </w:rPr>
        <w:t xml:space="preserve"> </w:t>
      </w:r>
      <w:r w:rsidR="00613560" w:rsidRPr="005B48D9">
        <w:rPr>
          <w:spacing w:val="2"/>
        </w:rPr>
        <w:t>Việc rà soát được thực hiện trên cơ sở nghiên cứu các quy định pháp luật hiện hành về dược, các yêu cầu về cải cách thủ tục hành chính, cắt giảm, đơn giản hóa điều kiện kinh doanh, phân cấp, phân quyền và các phản ánh, đề xuất từ các cơ quan, tổ chức, doanh nghiệp và các đơn vị có liên quan.</w:t>
      </w:r>
    </w:p>
    <w:p w14:paraId="169945B5" w14:textId="77777777" w:rsidR="00613560" w:rsidRPr="005B48D9" w:rsidRDefault="00613560" w:rsidP="0012594D">
      <w:pPr>
        <w:shd w:val="clear" w:color="auto" w:fill="FFFFFF" w:themeFill="background1"/>
        <w:jc w:val="both"/>
        <w:rPr>
          <w:spacing w:val="2"/>
        </w:rPr>
      </w:pPr>
      <w:r w:rsidRPr="005B48D9">
        <w:rPr>
          <w:spacing w:val="2"/>
        </w:rPr>
        <w:tab/>
        <w:t>Trên cơ sở kết quả rà soát, Bộ Y tế đã xác định các nhóm vấn đề cần được tiếp tục nghiên cứu, xử lý, bao gồm các quy định liên quan đến bán lẻ thuốc lưu động; giao, nhận, vận chuyển thuốc, nguyên liệu làm thuốc phải kiểm soát đặc biệt; nhập khẩu nguyên liệu để sản xuất thuốc và bán thành phẩm thuốc xuất khẩu; hồ sơ, tài liệu đánh giá cơ sở sản xuất thuốc nước ngoài; khai thác thông tin doanh nghiệp từ cơ sở dữ liệu; và phân cấp giải quyết thủ tục xác nhận nội dung quảng cáo thuốc.</w:t>
      </w:r>
    </w:p>
    <w:p w14:paraId="775E673B" w14:textId="2EC9211E" w:rsidR="00471DD0" w:rsidRPr="005B48D9" w:rsidRDefault="00613560" w:rsidP="0012594D">
      <w:pPr>
        <w:shd w:val="clear" w:color="auto" w:fill="FFFFFF" w:themeFill="background1"/>
        <w:jc w:val="both"/>
        <w:rPr>
          <w:spacing w:val="2"/>
        </w:rPr>
      </w:pPr>
      <w:r w:rsidRPr="005B48D9">
        <w:rPr>
          <w:spacing w:val="2"/>
        </w:rPr>
        <w:tab/>
        <w:t>Quá trình xây dựng dự thảo được thực hiện thông qua các cuộc họp, rà soát, nghiên cứu, đánh giá tổng quan hệ thống pháp luật hiện hành về quản lý dược và các khó khăn, vướng mắc trong quá trình triển khai Nghị định số 163/2025/NĐ-CP; tiếp nhận các đề xuất sửa đổi, bổ sung từ các Bộ, ngành, doanh nghiệp, hội về dược, bệnh viện, Sở Y tế, cơ sở đào tạo và các đơn vị có liên quan.</w:t>
      </w:r>
    </w:p>
    <w:p w14:paraId="669D6CC4" w14:textId="2A9213A5" w:rsidR="00BC5222" w:rsidRPr="006225B7" w:rsidRDefault="00BE74D9" w:rsidP="0012594D">
      <w:pPr>
        <w:shd w:val="clear" w:color="auto" w:fill="FFFFFF" w:themeFill="background1"/>
        <w:autoSpaceDE w:val="0"/>
        <w:autoSpaceDN w:val="0"/>
        <w:adjustRightInd w:val="0"/>
        <w:jc w:val="both"/>
        <w:rPr>
          <w:b/>
          <w:bCs/>
          <w:color w:val="FF0000"/>
        </w:rPr>
      </w:pPr>
      <w:r>
        <w:rPr>
          <w:b/>
        </w:rPr>
        <w:tab/>
        <w:t>2. Kết quả thi hành văn bản quy phạm pháp luật, đánh giá ưu điểm, bất cập, hạn chế của văn bản quy phạm pháp luật</w:t>
      </w:r>
    </w:p>
    <w:p w14:paraId="2E48F37A" w14:textId="77777777" w:rsidR="00C54C5F" w:rsidRPr="00C54C5F" w:rsidRDefault="00C54C5F" w:rsidP="0012594D">
      <w:pPr>
        <w:shd w:val="clear" w:color="auto" w:fill="FFFFFF" w:themeFill="background1"/>
        <w:autoSpaceDE w:val="0"/>
        <w:autoSpaceDN w:val="0"/>
        <w:adjustRightInd w:val="0"/>
        <w:jc w:val="both"/>
        <w:rPr>
          <w:bCs/>
          <w:lang w:val="vi"/>
        </w:rPr>
      </w:pPr>
      <w:r>
        <w:rPr>
          <w:bCs/>
          <w:lang w:val="vi"/>
        </w:rPr>
        <w:tab/>
      </w:r>
      <w:r w:rsidRPr="00C54C5F">
        <w:rPr>
          <w:bCs/>
        </w:rPr>
        <w:t>Về lĩnh vực quản lý kinh doanh dược: việc cấp Giấy chứng nhận đủ điều kiện kinh doanh dược, đánh giá việc đáp ứng Thực hành tốt và cấp phép xuất khẩu, nhập khẩu thuốc, nguyên liệu làm thuốc (bao gồm thuốc, nguyên liệu làm thuốc phải kiểm soát đặc biệt) cơ bản được duy trì liên tục, không gián đoạn trong giai đoạn chuyển tiếp từ Nghị định số 54/2017/NĐ-CP, Nghị định số 155/2018/NĐ-CP sang Nghị định số 163/2025/NĐ-CP. Các thủ tục hành chính được công bố công khai và từng bước thực hiện trực tuyến trên Cổng dịch vụ công. Loại hình cơ sở tổ chức chuỗi nhà thuốc được quy định tại Luật số 44/2024/QH15 và Nghị định số 163/2025/NĐ-CP bước đầu được triển khai cấp phép, tạo cơ sở pháp lý để quản lý mô hình kinh doanh theo chuỗi.</w:t>
      </w:r>
    </w:p>
    <w:p w14:paraId="23DE3393" w14:textId="2AEFF7F9" w:rsidR="00C54C5F" w:rsidRPr="00C54C5F" w:rsidRDefault="00C54C5F" w:rsidP="0012594D">
      <w:pPr>
        <w:shd w:val="clear" w:color="auto" w:fill="FFFFFF" w:themeFill="background1"/>
        <w:autoSpaceDE w:val="0"/>
        <w:autoSpaceDN w:val="0"/>
        <w:adjustRightInd w:val="0"/>
        <w:jc w:val="both"/>
        <w:rPr>
          <w:bCs/>
          <w:lang w:val="vi"/>
        </w:rPr>
      </w:pPr>
      <w:r w:rsidRPr="00C54C5F">
        <w:rPr>
          <w:bCs/>
        </w:rPr>
        <w:tab/>
        <w:t xml:space="preserve">Bên cạnh kết quả đạt được, quá trình thi hành cho thấy một số quy định còn có cách hiểu khác nhau hoặc chưa bao quát hết tình huống phát sinh trong </w:t>
      </w:r>
      <w:r w:rsidRPr="00C54C5F">
        <w:rPr>
          <w:bCs/>
        </w:rPr>
        <w:lastRenderedPageBreak/>
        <w:t>thực tiễn, chủ yếu liên quan đến kỹ thuật soạn thảo, thành phần hồ sơ và việc dẫn chiếu giữa các điều khoản (nêu cụ thể tại Mục 3 dưới đây); một số thành phần hồ sơ, thủ tục cần tiếp tục được cắt giảm, đơn giản hóa theo yêu cầu tại Nghị quyết số 66.7/2025/NQ-CP, Nghị quyết số 66.16/2026/NQ-CP và đẩy mạnh phân cấp theo Quyết định số 1015/QĐ-TTg.</w:t>
      </w:r>
    </w:p>
    <w:p w14:paraId="4062871A" w14:textId="13EAD08B" w:rsidR="00BE74D9" w:rsidRPr="005B48D9" w:rsidRDefault="00BE74D9" w:rsidP="0012594D">
      <w:pPr>
        <w:shd w:val="clear" w:color="auto" w:fill="FFFFFF" w:themeFill="background1"/>
        <w:autoSpaceDE w:val="0"/>
        <w:autoSpaceDN w:val="0"/>
        <w:adjustRightInd w:val="0"/>
        <w:jc w:val="both"/>
        <w:rPr>
          <w:b/>
          <w:bCs/>
        </w:rPr>
      </w:pPr>
      <w:r w:rsidRPr="005B48D9">
        <w:rPr>
          <w:b/>
          <w:bCs/>
          <w:lang w:val="en"/>
        </w:rPr>
        <w:tab/>
        <w:t>3. Khó khăn, vư</w:t>
      </w:r>
      <w:r w:rsidRPr="005B48D9">
        <w:rPr>
          <w:b/>
          <w:bCs/>
          <w:lang w:val="vi-VN"/>
        </w:rPr>
        <w:t>ớng mắc v</w:t>
      </w:r>
      <w:r w:rsidRPr="005B48D9">
        <w:rPr>
          <w:b/>
          <w:bCs/>
        </w:rPr>
        <w:t>à nguyên nhân</w:t>
      </w:r>
    </w:p>
    <w:p w14:paraId="06C22392" w14:textId="608E51E6" w:rsidR="0089221C" w:rsidRPr="005B48D9" w:rsidRDefault="0089221C" w:rsidP="0012594D">
      <w:pPr>
        <w:shd w:val="clear" w:color="auto" w:fill="FFFFFF" w:themeFill="background1"/>
        <w:autoSpaceDE w:val="0"/>
        <w:autoSpaceDN w:val="0"/>
        <w:adjustRightInd w:val="0"/>
        <w:jc w:val="both"/>
        <w:rPr>
          <w:b/>
          <w:bCs/>
          <w:lang w:val="vi-VN"/>
        </w:rPr>
      </w:pPr>
      <w:r w:rsidRPr="005B48D9">
        <w:rPr>
          <w:b/>
          <w:bCs/>
        </w:rPr>
        <w:tab/>
        <w:t>3.1. Về</w:t>
      </w:r>
      <w:r w:rsidRPr="005B48D9">
        <w:rPr>
          <w:b/>
          <w:bCs/>
          <w:lang w:val="vi-VN"/>
        </w:rPr>
        <w:t xml:space="preserve"> việc đánh giá đáp ứng thực hành tốt sản xuất thuốc (GMP) </w:t>
      </w:r>
    </w:p>
    <w:p w14:paraId="60DB4020" w14:textId="48D25BAB" w:rsidR="0089221C" w:rsidRPr="005B48D9" w:rsidRDefault="0089221C" w:rsidP="0012594D">
      <w:pPr>
        <w:shd w:val="clear" w:color="auto" w:fill="FFFFFF" w:themeFill="background1"/>
        <w:autoSpaceDE w:val="0"/>
        <w:autoSpaceDN w:val="0"/>
        <w:adjustRightInd w:val="0"/>
        <w:jc w:val="both"/>
        <w:rPr>
          <w:bCs/>
          <w:lang w:val="vi-VN"/>
        </w:rPr>
      </w:pPr>
      <w:r w:rsidRPr="005B48D9">
        <w:rPr>
          <w:bCs/>
        </w:rPr>
        <w:tab/>
        <w:t>T</w:t>
      </w:r>
      <w:r w:rsidRPr="005B48D9">
        <w:rPr>
          <w:bCs/>
          <w:lang w:val="vi-VN"/>
        </w:rPr>
        <w:t xml:space="preserve">rong quá trình triển khai thực hiện trong thời gian qua, </w:t>
      </w:r>
      <w:r w:rsidRPr="005B48D9">
        <w:rPr>
          <w:bCs/>
        </w:rPr>
        <w:t xml:space="preserve">do một số quy định chưa kịp thời cập nhật đảm bảo phù hợp theo các quy trình quy định hiện hành của các cơ quan quản lý dược các nước, cũng như do một số lỗi kỹ thuật trong soạn thảo </w:t>
      </w:r>
      <w:r w:rsidR="00EE7107" w:rsidRPr="005B48D9">
        <w:rPr>
          <w:bCs/>
          <w:lang w:val="vi"/>
        </w:rPr>
        <w:t xml:space="preserve">Nghị định số 163/2025/NĐ-CP </w:t>
      </w:r>
      <w:r w:rsidRPr="005B48D9">
        <w:rPr>
          <w:bCs/>
        </w:rPr>
        <w:t xml:space="preserve">dẫn đến một số nội dung giữa các điều khoản được quy định chưa thống nhất </w:t>
      </w:r>
      <w:r w:rsidRPr="005B48D9">
        <w:rPr>
          <w:bCs/>
          <w:lang w:val="vi-VN"/>
        </w:rPr>
        <w:t xml:space="preserve">dẫn đến </w:t>
      </w:r>
      <w:r w:rsidRPr="005B48D9">
        <w:rPr>
          <w:bCs/>
        </w:rPr>
        <w:t xml:space="preserve">việc xử lý có nhiều điểm bất cập, cụ thể: </w:t>
      </w:r>
      <w:r w:rsidRPr="005B48D9">
        <w:rPr>
          <w:bCs/>
          <w:lang w:val="vi-VN"/>
        </w:rPr>
        <w:t xml:space="preserve"> </w:t>
      </w:r>
    </w:p>
    <w:p w14:paraId="5637EC48" w14:textId="5AF1667C" w:rsidR="0089221C" w:rsidRPr="005B48D9" w:rsidRDefault="0089221C" w:rsidP="0012594D">
      <w:pPr>
        <w:shd w:val="clear" w:color="auto" w:fill="FFFFFF" w:themeFill="background1"/>
        <w:autoSpaceDE w:val="0"/>
        <w:autoSpaceDN w:val="0"/>
        <w:adjustRightInd w:val="0"/>
        <w:jc w:val="both"/>
        <w:rPr>
          <w:bCs/>
          <w:lang w:val="it-IT"/>
        </w:rPr>
      </w:pPr>
      <w:r>
        <w:tab/>
        <w:t>- Tại điểm b và điểm d khoản 1 Điều 96 quy định về Hồ sơ đề nghị đánh giá bao gồm: “b) Giấy chứng nhận Thực hành tốt sản xuất hoặc giấy phép sản xuất và báo cáo kiểm tra Thực hành tốt sản xuất của đợt kiểm tra gần nhất đối với cơ sở sản xuất thuốc, nguyên liệu làm thuốc đã được đánh giá theo quy định tại Điều 93 của Nghị định này; d) Giấy chứng nhận Thực hành tốt sản xuất hoặc giấy phép sản xuất và báo cáo kiểm tra Thực hành tốt sản xuất của đợt kiểm tra gần nhất đối với cơ sở sản xuất thuốc, nguyên liệu làm thuốc đã được đánh giá theo quy định tại Điều 95 của Nghị định này;”</w:t>
      </w:r>
    </w:p>
    <w:p w14:paraId="3A706C22" w14:textId="55DC4C52" w:rsidR="0089221C" w:rsidRPr="005B48D9" w:rsidRDefault="0089221C" w:rsidP="0012594D">
      <w:pPr>
        <w:shd w:val="clear" w:color="auto" w:fill="FFFFFF" w:themeFill="background1"/>
        <w:autoSpaceDE w:val="0"/>
        <w:autoSpaceDN w:val="0"/>
        <w:adjustRightInd w:val="0"/>
        <w:jc w:val="both"/>
        <w:rPr>
          <w:bCs/>
        </w:rPr>
      </w:pPr>
      <w:r w:rsidRPr="005B48D9">
        <w:rPr>
          <w:bCs/>
        </w:rPr>
        <w:tab/>
        <w:t>Theo đó, với các quy định trên, cơ sở phải cung cấp báo cáo kiểm tra GMP của đợt kiểm tra gần nhất đối với cơ sở sản xuất thuốc, nguyên liệu làm thuốc đã được đánh giá. Tuy nhiên, hiện nay một số cơ quan quản lý dược nước ngoài áp dụng hình thức đánh giá từ xa (desktop assessment) qua các phương tiện từ xa và không lập báo cáo thanh tra hoặc biên bản kiểm tra GMP, chỉ ghi nhận và Giấy chứng nhận sau khi cơ sở được đánh giá đã đáp ứng. Điều này dẫn đến vướng mắc cho cơ sở khi không thể cung cấp được hồ sơ theo yêu cầu.</w:t>
      </w:r>
    </w:p>
    <w:p w14:paraId="05F1365D" w14:textId="32CB259E" w:rsidR="0089221C" w:rsidRPr="005B48D9" w:rsidRDefault="0089221C" w:rsidP="0012594D">
      <w:pPr>
        <w:shd w:val="clear" w:color="auto" w:fill="FFFFFF" w:themeFill="background1"/>
        <w:autoSpaceDE w:val="0"/>
        <w:autoSpaceDN w:val="0"/>
        <w:adjustRightInd w:val="0"/>
        <w:jc w:val="both"/>
        <w:rPr>
          <w:bCs/>
          <w:i/>
        </w:rPr>
      </w:pPr>
      <w:r w:rsidRPr="005B48D9">
        <w:rPr>
          <w:bCs/>
        </w:rPr>
        <w:tab/>
        <w:t>- Theo quy định tại khoản 2 Điều 94 đối với Hồ sơ đề nghị đánh giá ban đầu của các cơ sở thuộc trường hợp Công nhận, thừa nhận kết quả thanh tra, kiểm tra của cơ quan quản lý chỉ yêu cầu Giấy chứng nhận GMP và không yêu cầu Hồ sơ tổng thể, cụ thể: “</w:t>
      </w:r>
      <w:r w:rsidRPr="005B48D9">
        <w:rPr>
          <w:bCs/>
          <w:i/>
        </w:rPr>
        <w:t>2. Hồ sơ đề nghị đánh giá: a) Đơn đề nghị đánh giá Thực hành tốt sản xuất theo </w:t>
      </w:r>
      <w:bookmarkStart w:id="1" w:name="bieumau_ms_01_pl8_1"/>
      <w:r w:rsidRPr="005B48D9">
        <w:rPr>
          <w:bCs/>
          <w:i/>
        </w:rPr>
        <w:t>Mẫu số 01 tại Phụ lục VIII</w:t>
      </w:r>
      <w:bookmarkEnd w:id="1"/>
      <w:r w:rsidRPr="005B48D9">
        <w:rPr>
          <w:bCs/>
          <w:i/>
        </w:rPr>
        <w:t> ban hành kèm theo Nghị định này; b) Giấy chứng nhận Thực hành tốt sản xuất hoặc giấy phép sản xuất hoặc báo cáo kiểm tra Thực hành tốt sản xuất đối với trường hợp cơ quan có thẩm quyền nước sở tại không cấp giấy chứng nhận Thực hành tốt sản xuất hoặc giấy phép sản xuất.”</w:t>
      </w:r>
    </w:p>
    <w:p w14:paraId="11BF3161" w14:textId="665BB523" w:rsidR="0089221C" w:rsidRPr="005B48D9" w:rsidRDefault="0089221C" w:rsidP="0012594D">
      <w:pPr>
        <w:shd w:val="clear" w:color="auto" w:fill="FFFFFF" w:themeFill="background1"/>
        <w:autoSpaceDE w:val="0"/>
        <w:autoSpaceDN w:val="0"/>
        <w:adjustRightInd w:val="0"/>
        <w:jc w:val="both"/>
        <w:rPr>
          <w:bCs/>
        </w:rPr>
      </w:pPr>
      <w:r w:rsidRPr="005B48D9">
        <w:rPr>
          <w:bCs/>
        </w:rPr>
        <w:tab/>
        <w:t>Tuy nhiên, tại điểm đ</w:t>
      </w:r>
      <w:r w:rsidR="00EE7107" w:rsidRPr="005B48D9">
        <w:rPr>
          <w:bCs/>
        </w:rPr>
        <w:t>)</w:t>
      </w:r>
      <w:r w:rsidRPr="005B48D9">
        <w:rPr>
          <w:bCs/>
        </w:rPr>
        <w:t xml:space="preserve"> khoản 1 Điều 96, quy định đối với hồ sơ đề nghị đánh giá duy trì đáp ứng đang yêu cầu phải cung cấp Hồ sơ tổng thể của cơ sở sản xuất cụ thể: </w:t>
      </w:r>
      <w:r w:rsidRPr="005B48D9">
        <w:rPr>
          <w:bCs/>
          <w:i/>
        </w:rPr>
        <w:t xml:space="preserve">đ) Hồ sơ tổng thể cơ sở sản xuất cập nhật trong trường hợp cơ sở có sự thay đổi về mặt bằng nhà xưởng, dây chuyền sản xuất thuốc, nguyên liệu làm thuốc đã được đánh giá đáp ứng Thực hành tốt sản xuất theo quy định của Bộ Y tế;” </w:t>
      </w:r>
      <w:r w:rsidRPr="005B48D9">
        <w:rPr>
          <w:bCs/>
        </w:rPr>
        <w:t xml:space="preserve">Các quy định trên  dẫn đến không thống nhất giữa quy định về </w:t>
      </w:r>
      <w:r w:rsidRPr="005B48D9">
        <w:rPr>
          <w:bCs/>
        </w:rPr>
        <w:lastRenderedPageBreak/>
        <w:t xml:space="preserve">thành phần hồ sơ trong đánh giá đáp ứng lần đầu và hồ sơ đánh giá duy trì đáp ứng. </w:t>
      </w:r>
    </w:p>
    <w:p w14:paraId="6ED6146D" w14:textId="5246CC60" w:rsidR="0089221C" w:rsidRPr="005B48D9" w:rsidRDefault="0089221C" w:rsidP="0012594D">
      <w:pPr>
        <w:shd w:val="clear" w:color="auto" w:fill="FFFFFF" w:themeFill="background1"/>
        <w:autoSpaceDE w:val="0"/>
        <w:autoSpaceDN w:val="0"/>
        <w:adjustRightInd w:val="0"/>
        <w:jc w:val="both"/>
        <w:rPr>
          <w:bCs/>
        </w:rPr>
      </w:pPr>
      <w:r w:rsidRPr="005B48D9">
        <w:rPr>
          <w:bCs/>
        </w:rPr>
        <w:tab/>
        <w:t xml:space="preserve">Tại khoản 5 Điều 96 của </w:t>
      </w:r>
      <w:r w:rsidR="00EE7107" w:rsidRPr="005B48D9">
        <w:rPr>
          <w:bCs/>
          <w:lang w:val="vi"/>
        </w:rPr>
        <w:t>Nghị định số 163/2025/NĐ-CP</w:t>
      </w:r>
      <w:r w:rsidRPr="005B48D9">
        <w:rPr>
          <w:bCs/>
        </w:rPr>
        <w:t xml:space="preserve"> quy định đối với cơ sở sản xuất thuốc, nguyên liệu làm thuốc nước ngoài được tiếp tục duy trì kết quả đánh giá đáp ứng Thực hành tốt sản xuất thuộc một trong các trường hợp sau:</w:t>
      </w:r>
    </w:p>
    <w:p w14:paraId="25DA90A9" w14:textId="12816F48" w:rsidR="0089221C" w:rsidRPr="005B48D9" w:rsidRDefault="0089221C" w:rsidP="0012594D">
      <w:pPr>
        <w:shd w:val="clear" w:color="auto" w:fill="FFFFFF" w:themeFill="background1"/>
        <w:autoSpaceDE w:val="0"/>
        <w:autoSpaceDN w:val="0"/>
        <w:adjustRightInd w:val="0"/>
        <w:jc w:val="both"/>
        <w:rPr>
          <w:bCs/>
        </w:rPr>
      </w:pPr>
      <w:r w:rsidRPr="005B48D9">
        <w:rPr>
          <w:bCs/>
        </w:rPr>
        <w:tab/>
        <w:t>a) Đã nộp hồ sơ đánh giá duy trì đáp ứng Thực hành tốt sản xuất theo quy định tại khoản 1 và 2 Điều này;</w:t>
      </w:r>
    </w:p>
    <w:p w14:paraId="4CEC6EFF" w14:textId="0A96C6F8" w:rsidR="0089221C" w:rsidRPr="005B48D9" w:rsidRDefault="0089221C" w:rsidP="0012594D">
      <w:pPr>
        <w:shd w:val="clear" w:color="auto" w:fill="FFFFFF" w:themeFill="background1"/>
        <w:autoSpaceDE w:val="0"/>
        <w:autoSpaceDN w:val="0"/>
        <w:adjustRightInd w:val="0"/>
        <w:jc w:val="both"/>
        <w:rPr>
          <w:bCs/>
        </w:rPr>
      </w:pPr>
      <w:r w:rsidRPr="005B48D9">
        <w:rPr>
          <w:bCs/>
        </w:rPr>
        <w:tab/>
        <w:t>b) Cơ sở đăng ký, cơ sở sản xuất thuốc, nguyên liệu làm thuốc cung cấp kết quả tự tra cứu thông tin trên trang thông tin điện tử hoặc cơ sở dữ liệu tiếng Anh của cơ quan có thẩm quyền về đánh giá đáp ứng Thực hành tốt sản xuất hoặc trên trang thông tin điện tử do cơ quan có thẩm quyền nước sở tại hoặc cơ quan có thẩm quyền cấp khu vực vận hành, xác định cơ sở sản xuất duy trì đáp ứng Thực hành tốt sản xuất. Việc tra cứu phải được thực hiện sau thời điểm hết hạn hiệu lực đáp ứng Thực hành tốt sản xuất đã công bố trên cổng thông tin điện tử của Bộ Y tế Việt Nam. Kết quả tự tra cứu được đóng dấu xác nhận của cơ sở đăng ký, cơ sở sản xuất thuốc, nguyên liệu làm thuốc kèm theo văn bản cung cấp thông tin về đường dẫn tra cứu;</w:t>
      </w:r>
    </w:p>
    <w:p w14:paraId="256B110B" w14:textId="555BD935" w:rsidR="0089221C" w:rsidRPr="005B48D9" w:rsidRDefault="0089221C" w:rsidP="0012594D">
      <w:pPr>
        <w:shd w:val="clear" w:color="auto" w:fill="FFFFFF" w:themeFill="background1"/>
        <w:autoSpaceDE w:val="0"/>
        <w:autoSpaceDN w:val="0"/>
        <w:adjustRightInd w:val="0"/>
        <w:jc w:val="both"/>
        <w:rPr>
          <w:bCs/>
        </w:rPr>
      </w:pPr>
      <w:r>
        <w:tab/>
        <w:t xml:space="preserve">Với các quy định trên, cơ sở đăng ký, cơ sở sản xuất phải chịu trách nhiệm toàn diện trước pháp luật về tính hợp pháp, tính chính xác của các giấy tờ đã nộp tại Hồ sơ đánh giá duy trì cũng như các thông tin và kết quả tự tra cứu của cơ sở. Đồng thời các cơ quan, tổ chức sử dụng thông tin tra cứu, thực hiện việc tra cứu, xác minh theo đường dẫn do cơ sở đăng ký, cơ sở sản xuất thuốc, nguyên liệu làm thuốc cung cấp. Tuy nhiên, do lỗi soạn thảo thiết kế nội dung yêu cầu trên thành điểm c) vì vậy, với nội dung quy định hiện nay tại khoản này không phù hợp với cấu trúc khoản và không thể hiện rõ yêu cầu quản lý. </w:t>
      </w:r>
    </w:p>
    <w:p w14:paraId="2A0B9630" w14:textId="3FA89A2D" w:rsidR="0089221C" w:rsidRPr="005B48D9" w:rsidRDefault="0089221C" w:rsidP="0012594D">
      <w:pPr>
        <w:shd w:val="clear" w:color="auto" w:fill="FFFFFF" w:themeFill="background1"/>
        <w:autoSpaceDE w:val="0"/>
        <w:autoSpaceDN w:val="0"/>
        <w:adjustRightInd w:val="0"/>
        <w:jc w:val="both"/>
        <w:rPr>
          <w:bCs/>
        </w:rPr>
      </w:pPr>
      <w:r w:rsidRPr="005B48D9">
        <w:rPr>
          <w:bCs/>
        </w:rPr>
        <w:tab/>
        <w:t>Như vậy, với các nội dung trên, cần kịp thời sửa đổi để đảm bảo phù hợp với triển khai thực tế cũng như đảm bảo văn bản rõ ràng, dễ hiểu và tránh hiểu nhầm gây ảnh hưởng đến việc xử lý.</w:t>
      </w:r>
    </w:p>
    <w:p w14:paraId="3F3AC638" w14:textId="1FF32843" w:rsidR="0089221C" w:rsidRPr="005B48D9" w:rsidRDefault="0089221C" w:rsidP="0012594D">
      <w:pPr>
        <w:shd w:val="clear" w:color="auto" w:fill="FFFFFF" w:themeFill="background1"/>
        <w:autoSpaceDE w:val="0"/>
        <w:autoSpaceDN w:val="0"/>
        <w:adjustRightInd w:val="0"/>
        <w:jc w:val="both"/>
        <w:rPr>
          <w:b/>
          <w:bCs/>
          <w:lang w:val="vi"/>
        </w:rPr>
      </w:pPr>
      <w:r w:rsidRPr="005B48D9">
        <w:rPr>
          <w:bCs/>
        </w:rPr>
        <w:tab/>
      </w:r>
      <w:r w:rsidRPr="005B48D9">
        <w:rPr>
          <w:b/>
          <w:bCs/>
        </w:rPr>
        <w:t>3.2. Về q</w:t>
      </w:r>
      <w:r w:rsidRPr="005B48D9">
        <w:rPr>
          <w:b/>
          <w:bCs/>
          <w:lang w:val="vi"/>
        </w:rPr>
        <w:t>uy định cơ sở cung cấp thuốc, nguyên liệu làm thuốc</w:t>
      </w:r>
    </w:p>
    <w:p w14:paraId="4CD33A92" w14:textId="42493163" w:rsidR="0089221C" w:rsidRPr="005B48D9" w:rsidRDefault="0089221C" w:rsidP="0012594D">
      <w:pPr>
        <w:shd w:val="clear" w:color="auto" w:fill="FFFFFF" w:themeFill="background1"/>
        <w:autoSpaceDE w:val="0"/>
        <w:autoSpaceDN w:val="0"/>
        <w:adjustRightInd w:val="0"/>
        <w:jc w:val="both"/>
        <w:rPr>
          <w:bCs/>
          <w:lang w:val="vi"/>
        </w:rPr>
      </w:pPr>
      <w:r w:rsidRPr="005B48D9">
        <w:rPr>
          <w:bCs/>
          <w:lang w:val="vi"/>
        </w:rPr>
        <w:tab/>
        <w:t>Theo phản ánh của một số đơn vị hải quan, quy định tại điểm đ</w:t>
      </w:r>
      <w:r w:rsidR="00700B7C" w:rsidRPr="005B48D9">
        <w:rPr>
          <w:bCs/>
        </w:rPr>
        <w:t>)</w:t>
      </w:r>
      <w:r w:rsidRPr="005B48D9">
        <w:rPr>
          <w:bCs/>
          <w:lang w:val="vi"/>
        </w:rPr>
        <w:t xml:space="preserve"> khoản 1 Điều 78 có thể gây ra cách hiểu chưa thống nhất về việc đây là một trường hợp của cơ sở cung cấp thuốc, </w:t>
      </w:r>
      <w:r w:rsidR="00700B7C" w:rsidRPr="005B48D9">
        <w:rPr>
          <w:bCs/>
          <w:lang w:val="vi"/>
        </w:rPr>
        <w:t>nguyên liệu làm thuốc</w:t>
      </w:r>
      <w:r w:rsidRPr="005B48D9">
        <w:rPr>
          <w:bCs/>
          <w:lang w:val="vi"/>
        </w:rPr>
        <w:t xml:space="preserve"> vào Việt Nam, về bản chất quy định tại điểm đ này là quy định làm rõ hơn cho trường hợp cơ sở cung cấp được quy định tại điểm c</w:t>
      </w:r>
      <w:r w:rsidR="00EB7533" w:rsidRPr="005B48D9">
        <w:rPr>
          <w:bCs/>
        </w:rPr>
        <w:t>)</w:t>
      </w:r>
      <w:r w:rsidRPr="005B48D9">
        <w:rPr>
          <w:bCs/>
          <w:lang w:val="vi"/>
        </w:rPr>
        <w:t xml:space="preserve"> và d</w:t>
      </w:r>
      <w:r w:rsidR="00EB7533" w:rsidRPr="005B48D9">
        <w:rPr>
          <w:bCs/>
        </w:rPr>
        <w:t>)</w:t>
      </w:r>
      <w:r w:rsidRPr="005B48D9">
        <w:rPr>
          <w:bCs/>
          <w:lang w:val="vi"/>
        </w:rPr>
        <w:t xml:space="preserve"> khoản này. Do đó, cần sửa lại cách viết tại điểm đ</w:t>
      </w:r>
      <w:r w:rsidR="00700B7C" w:rsidRPr="005B48D9">
        <w:rPr>
          <w:bCs/>
        </w:rPr>
        <w:t>)</w:t>
      </w:r>
      <w:r w:rsidRPr="005B48D9">
        <w:rPr>
          <w:bCs/>
          <w:lang w:val="vi"/>
        </w:rPr>
        <w:t xml:space="preserve"> khoản 1 để làm rõ nghĩa nội dung quy định mà không làm thay đổi bản chất của quy định.</w:t>
      </w:r>
    </w:p>
    <w:p w14:paraId="26215BC9" w14:textId="7AAB78C3" w:rsidR="0089221C" w:rsidRPr="005B48D9" w:rsidRDefault="0089221C" w:rsidP="0012594D">
      <w:pPr>
        <w:shd w:val="clear" w:color="auto" w:fill="FFFFFF" w:themeFill="background1"/>
        <w:autoSpaceDE w:val="0"/>
        <w:autoSpaceDN w:val="0"/>
        <w:adjustRightInd w:val="0"/>
        <w:jc w:val="both"/>
        <w:rPr>
          <w:bCs/>
          <w:lang w:val="vi"/>
        </w:rPr>
      </w:pPr>
      <w:r w:rsidRPr="005B48D9">
        <w:rPr>
          <w:bCs/>
          <w:lang w:val="vi"/>
        </w:rPr>
        <w:tab/>
        <w:t xml:space="preserve">Thực tế trong thời gian qua, một số vắc xin sử dụng trong Chương trình </w:t>
      </w:r>
      <w:r w:rsidR="00700B7C" w:rsidRPr="005B48D9">
        <w:rPr>
          <w:bCs/>
        </w:rPr>
        <w:t xml:space="preserve">Tiêm chủng mở rộng </w:t>
      </w:r>
      <w:r w:rsidRPr="005B48D9">
        <w:rPr>
          <w:bCs/>
          <w:lang w:val="vi"/>
        </w:rPr>
        <w:t xml:space="preserve">được mua qua tổ chức quốc tế (như UNICEF) theo hình thức lựa chọn nhà thầu cung cấp vắc xin trong trường hợp đặc biệt. Theo Biên bản/Hợp đồng ký kết với tổ chức quốc tế để mua sắm vắc xin và tại Quyết định phê duyệt phương án lựa chọn nhà thầu cung cấp vắc xin trong trường hợp đặc biệt có quy định về việc vắc xin sẽ được mua sắm theo quy tắc, quy định và quy </w:t>
      </w:r>
      <w:r w:rsidRPr="005B48D9">
        <w:rPr>
          <w:bCs/>
          <w:lang w:val="vi"/>
        </w:rPr>
        <w:lastRenderedPageBreak/>
        <w:t>trình của tổ chức quốc tế, do đó cơ sở cung cấp vắc xin sẽ do tổ chức quốc tế quyết định và họ không đảm bảo rằng cơ sở cung cấp vắc xin đáp ứng theo quy định hiện tại của Việt Nam</w:t>
      </w:r>
      <w:r w:rsidRPr="005B48D9">
        <w:rPr>
          <w:bCs/>
          <w:vertAlign w:val="superscript"/>
          <w:lang w:val="vi"/>
        </w:rPr>
        <w:footnoteReference w:id="1"/>
      </w:r>
      <w:r w:rsidRPr="005B48D9">
        <w:rPr>
          <w:bCs/>
          <w:lang w:val="vi"/>
        </w:rPr>
        <w:t>.</w:t>
      </w:r>
    </w:p>
    <w:p w14:paraId="68CAF772" w14:textId="2FFF5AA8" w:rsidR="0089221C" w:rsidRPr="005B48D9" w:rsidRDefault="0089221C" w:rsidP="0012594D">
      <w:pPr>
        <w:shd w:val="clear" w:color="auto" w:fill="FFFFFF" w:themeFill="background1"/>
        <w:autoSpaceDE w:val="0"/>
        <w:autoSpaceDN w:val="0"/>
        <w:adjustRightInd w:val="0"/>
        <w:jc w:val="both"/>
        <w:rPr>
          <w:b/>
          <w:bCs/>
          <w:lang w:val="vi"/>
        </w:rPr>
      </w:pPr>
      <w:r w:rsidRPr="005B48D9">
        <w:rPr>
          <w:b/>
          <w:bCs/>
          <w:lang w:val="vi"/>
        </w:rPr>
        <w:tab/>
        <w:t xml:space="preserve">3.3. </w:t>
      </w:r>
      <w:r w:rsidRPr="005B48D9">
        <w:rPr>
          <w:b/>
          <w:bCs/>
        </w:rPr>
        <w:t>Về</w:t>
      </w:r>
      <w:r w:rsidRPr="005B48D9">
        <w:rPr>
          <w:b/>
          <w:bCs/>
          <w:lang w:val="vi"/>
        </w:rPr>
        <w:t xml:space="preserve"> việc thực hiện các quy định về xuất khẩu thuốc, nguyên liệu làm thuốc:</w:t>
      </w:r>
    </w:p>
    <w:p w14:paraId="4D83D0EA" w14:textId="76674D9E" w:rsidR="0089221C" w:rsidRPr="005B48D9" w:rsidRDefault="0089221C" w:rsidP="0012594D">
      <w:pPr>
        <w:shd w:val="clear" w:color="auto" w:fill="FFFFFF" w:themeFill="background1"/>
        <w:autoSpaceDE w:val="0"/>
        <w:autoSpaceDN w:val="0"/>
        <w:adjustRightInd w:val="0"/>
        <w:jc w:val="both"/>
        <w:rPr>
          <w:b/>
          <w:bCs/>
          <w:lang w:val="vi"/>
        </w:rPr>
      </w:pPr>
      <w:r w:rsidRPr="005B48D9">
        <w:rPr>
          <w:b/>
          <w:bCs/>
          <w:lang w:val="vi"/>
        </w:rPr>
        <w:tab/>
      </w:r>
      <w:r w:rsidR="00613560" w:rsidRPr="005B48D9">
        <w:rPr>
          <w:b/>
          <w:bCs/>
          <w:lang w:val="vi"/>
        </w:rPr>
        <w:t>3.3.1.</w:t>
      </w:r>
      <w:r w:rsidRPr="005B48D9">
        <w:rPr>
          <w:b/>
          <w:bCs/>
          <w:lang w:val="vi"/>
        </w:rPr>
        <w:t xml:space="preserve"> Về cấp phép nhập khẩu nguyên liệu làm thuốc để sản xuất bán thành phẩm thuốc xuất khẩu:</w:t>
      </w:r>
    </w:p>
    <w:p w14:paraId="54F28E8D" w14:textId="772977A1" w:rsidR="0089221C" w:rsidRPr="005B48D9" w:rsidRDefault="0089221C" w:rsidP="0012594D">
      <w:pPr>
        <w:shd w:val="clear" w:color="auto" w:fill="FFFFFF" w:themeFill="background1"/>
        <w:autoSpaceDE w:val="0"/>
        <w:autoSpaceDN w:val="0"/>
        <w:adjustRightInd w:val="0"/>
        <w:jc w:val="both"/>
        <w:rPr>
          <w:bCs/>
          <w:lang w:val="vi"/>
        </w:rPr>
      </w:pPr>
      <w:r>
        <w:tab/>
        <w:t>Điểm b khoản 3 Điều 60 Luật Dược số 105/2016/QH13 được sửa đổi, bổ sung bởi Luật số 44/2024/QH15 đã quy định việc cấp phép nhập khẩu nguyên liệu làm thuốc để sản xuất thuốc xuất khẩu, bán thành phẩm thuốc xuất khẩu và giao Chính phủ quy định chi tiết.</w:t>
      </w:r>
    </w:p>
    <w:p w14:paraId="7853A67D" w14:textId="397C7320" w:rsidR="0089221C" w:rsidRPr="005B48D9" w:rsidRDefault="0089221C" w:rsidP="0012594D">
      <w:pPr>
        <w:shd w:val="clear" w:color="auto" w:fill="FFFFFF" w:themeFill="background1"/>
        <w:autoSpaceDE w:val="0"/>
        <w:autoSpaceDN w:val="0"/>
        <w:adjustRightInd w:val="0"/>
        <w:jc w:val="both"/>
        <w:rPr>
          <w:bCs/>
          <w:lang w:val="vi"/>
        </w:rPr>
      </w:pPr>
      <w:r w:rsidRPr="005B48D9">
        <w:rPr>
          <w:bCs/>
          <w:lang w:val="vi"/>
        </w:rPr>
        <w:tab/>
        <w:t xml:space="preserve">Điều 70 </w:t>
      </w:r>
      <w:r w:rsidR="0064291E">
        <w:rPr>
          <w:bCs/>
        </w:rPr>
        <w:t>Nghị định 163/2025/NĐ-CP</w:t>
      </w:r>
      <w:r w:rsidRPr="005B48D9">
        <w:rPr>
          <w:bCs/>
          <w:lang w:val="vi"/>
        </w:rPr>
        <w:t xml:space="preserve"> chỉ quy định hồ sơ đề nghị cấp phép nhập khẩu nguyên liệu để sản xuất thuốc xuất khẩu, chưa bao quát trường hợp nhập khẩu nguyên liệu làm thuốc để sản xuất bán thành phẩm thuốc xuất khẩu.</w:t>
      </w:r>
    </w:p>
    <w:p w14:paraId="3F248F2B" w14:textId="36800F30" w:rsidR="0089221C" w:rsidRPr="005B48D9" w:rsidRDefault="0089221C" w:rsidP="0012594D">
      <w:pPr>
        <w:shd w:val="clear" w:color="auto" w:fill="FFFFFF" w:themeFill="background1"/>
        <w:autoSpaceDE w:val="0"/>
        <w:autoSpaceDN w:val="0"/>
        <w:adjustRightInd w:val="0"/>
        <w:jc w:val="both"/>
        <w:rPr>
          <w:bCs/>
          <w:lang w:val="vi"/>
        </w:rPr>
      </w:pPr>
      <w:r w:rsidRPr="005B48D9">
        <w:rPr>
          <w:bCs/>
          <w:lang w:val="vi"/>
        </w:rPr>
        <w:tab/>
        <w:t>Trên thực tế, nhiều doanh nghiệp sản xuất dược tại Việt Nam có hoạt động sản xuất bán thành phẩm thuốc để xuất khẩu (gia công, hợp đồng OEM cho đối tác nước ngoài). Do quy định hiện hành chưa rõ về trường hợp này, nên việc cấp phép nhập khẩu nguyên liệu để sản xuất bán thành phẩm thuốc xuất khẩu gặp vướng mắc, ảnh hưởng đến hoạt động sản xuất, kinh doanh và xuất khẩu của doanh nghiệp dược trong nước.</w:t>
      </w:r>
    </w:p>
    <w:p w14:paraId="78952AE7" w14:textId="16D15701" w:rsidR="0089221C" w:rsidRPr="005B48D9" w:rsidRDefault="0089221C" w:rsidP="0012594D">
      <w:pPr>
        <w:shd w:val="clear" w:color="auto" w:fill="FFFFFF" w:themeFill="background1"/>
        <w:autoSpaceDE w:val="0"/>
        <w:autoSpaceDN w:val="0"/>
        <w:adjustRightInd w:val="0"/>
        <w:jc w:val="both"/>
        <w:rPr>
          <w:b/>
          <w:bCs/>
          <w:lang w:val="vi"/>
        </w:rPr>
      </w:pPr>
      <w:r w:rsidRPr="005B48D9">
        <w:rPr>
          <w:b/>
          <w:bCs/>
          <w:lang w:val="vi"/>
        </w:rPr>
        <w:tab/>
      </w:r>
      <w:r w:rsidR="00613560" w:rsidRPr="005B48D9">
        <w:rPr>
          <w:b/>
          <w:bCs/>
          <w:lang w:val="vi"/>
        </w:rPr>
        <w:t>3.3.2.</w:t>
      </w:r>
      <w:r w:rsidRPr="005B48D9">
        <w:rPr>
          <w:b/>
          <w:bCs/>
          <w:lang w:val="vi"/>
        </w:rPr>
        <w:t xml:space="preserve"> Về cấp Giấy chứng nhận sản phẩm dược cho thuốc sản xuất tại Việt Nam nhưng chưa có giấy đăng ký lưu hành (CPP):</w:t>
      </w:r>
    </w:p>
    <w:p w14:paraId="3865C310" w14:textId="281FBC12" w:rsidR="00725A41" w:rsidRPr="003E24AA" w:rsidRDefault="0089221C" w:rsidP="0012594D">
      <w:pPr>
        <w:shd w:val="clear" w:color="auto" w:fill="FFFFFF" w:themeFill="background1"/>
        <w:autoSpaceDE w:val="0"/>
        <w:autoSpaceDN w:val="0"/>
        <w:adjustRightInd w:val="0"/>
        <w:jc w:val="both"/>
        <w:rPr>
          <w:bCs/>
          <w:lang w:val="vi"/>
        </w:rPr>
      </w:pPr>
      <w:r w:rsidRPr="005B48D9">
        <w:rPr>
          <w:bCs/>
          <w:lang w:val="vi"/>
        </w:rPr>
        <w:tab/>
        <w:t>Hiện nay, khi xuất khẩu thuốc Việt Nam ra thị trường quốc tế, nhiều nước nhập khẩu yêu cầu doanh nghiệp dược khi xuất khẩu thuốc phải có CPP do cơ quan quản lý dược nước xuất khẩu cấp. Hiện văn bản quy phạm pháp luật chưa có quy định cụ thể về việc cấp CPP cho thuốc sản xuất tại Việt Nam, do đó, không có căn cứ pháp lý để cấp CPP theo đề nghị của doanh nghiệp. Việc không cấp CPP dẫn tới nguy cơ thuốc không nhập khẩu được vào thị trường các nước, dẫn tới thiệt hại về kinh tế và giảm sức cạnh tranh của thương hiệu dược phẩm Việt tại thị trường quốc tế.</w:t>
      </w:r>
    </w:p>
    <w:p w14:paraId="2C5FC023" w14:textId="227E9571" w:rsidR="0089221C" w:rsidRPr="00AB1049" w:rsidRDefault="0089221C" w:rsidP="0012594D">
      <w:pPr>
        <w:shd w:val="clear" w:color="auto" w:fill="FFFFFF" w:themeFill="background1"/>
        <w:autoSpaceDE w:val="0"/>
        <w:autoSpaceDN w:val="0"/>
        <w:adjustRightInd w:val="0"/>
        <w:jc w:val="both"/>
        <w:rPr>
          <w:b/>
          <w:bCs/>
        </w:rPr>
      </w:pPr>
      <w:r w:rsidRPr="005B48D9">
        <w:rPr>
          <w:b/>
          <w:bCs/>
          <w:lang w:val="vi"/>
        </w:rPr>
        <w:tab/>
        <w:t xml:space="preserve">3.4. </w:t>
      </w:r>
      <w:r w:rsidRPr="005B48D9">
        <w:rPr>
          <w:b/>
          <w:bCs/>
        </w:rPr>
        <w:t>Về</w:t>
      </w:r>
      <w:r w:rsidRPr="005B48D9">
        <w:rPr>
          <w:b/>
          <w:bCs/>
          <w:lang w:val="vi"/>
        </w:rPr>
        <w:t xml:space="preserve"> việc công bố thông tin liên quan đến cơ sở kinh doanh dược được cấp Giấy chứng nhận đủ điều kiện kinh doanh dược tại khoản 9 Điều</w:t>
      </w:r>
      <w:r w:rsidR="00AB1049">
        <w:rPr>
          <w:b/>
          <w:bCs/>
          <w:lang w:val="vi"/>
        </w:rPr>
        <w:t xml:space="preserve"> 21 Nghị định số 163/2025/NĐ-CP</w:t>
      </w:r>
      <w:r w:rsidR="00AB1049">
        <w:rPr>
          <w:b/>
          <w:bCs/>
        </w:rPr>
        <w:t>:</w:t>
      </w:r>
    </w:p>
    <w:p w14:paraId="36A389F2" w14:textId="1FD3FD4D" w:rsidR="0089221C" w:rsidRPr="005B48D9" w:rsidRDefault="00AB1049" w:rsidP="0012594D">
      <w:pPr>
        <w:shd w:val="clear" w:color="auto" w:fill="FFFFFF" w:themeFill="background1"/>
        <w:autoSpaceDE w:val="0"/>
        <w:autoSpaceDN w:val="0"/>
        <w:adjustRightInd w:val="0"/>
        <w:jc w:val="both"/>
        <w:rPr>
          <w:bCs/>
          <w:lang w:val="vi"/>
        </w:rPr>
      </w:pPr>
      <w:r>
        <w:rPr>
          <w:bCs/>
          <w:lang w:val="vi"/>
        </w:rPr>
        <w:tab/>
      </w:r>
      <w:r w:rsidR="0089221C" w:rsidRPr="005B48D9">
        <w:rPr>
          <w:bCs/>
          <w:lang w:val="vi"/>
        </w:rPr>
        <w:t xml:space="preserve">Giấy chứng nhận đủ điều kiện kinh doanh dược của cơ sở tổ chức chuỗi nhà thuốc không bao gồm danh sách các nhà thuốc trong chuỗi nhà thuốc (và thông tin về người chịu trách nhiệm chuyên môn về dược của từng nhà thuốc trong chuỗi nhà thuốc) tại thời điểm cấp giấy chứng nhận. Điều này có thể gây khó khăn trong công tác quản lý đối với cơ sở tổ chức chuỗi nhà thuốc cũng như đối với từng nhà thuốc trong chuỗi nhà thuốc. Trường hợp cơ sở tổ chức chuỗi nhà thuốc thực hiện việc thêm hoặc bớt nhà thuốc trong chuỗi hoặc thực hiện luân chuyển người chịu trách nhiệm chuyên môn về dược giữa các nhà thuốc </w:t>
      </w:r>
      <w:r w:rsidR="0089221C" w:rsidRPr="005B48D9">
        <w:rPr>
          <w:bCs/>
          <w:lang w:val="vi"/>
        </w:rPr>
        <w:lastRenderedPageBreak/>
        <w:t>trong chuỗi nhà thuốc và thông báo đến Sở Y tế, Sở Y tế không có thông tin để đối chiếu và quản lý.</w:t>
      </w:r>
    </w:p>
    <w:p w14:paraId="3AEFD0B2" w14:textId="0DE854C5" w:rsidR="0089221C" w:rsidRPr="005B48D9" w:rsidRDefault="0089221C" w:rsidP="0012594D">
      <w:pPr>
        <w:shd w:val="clear" w:color="auto" w:fill="FFFFFF" w:themeFill="background1"/>
        <w:autoSpaceDE w:val="0"/>
        <w:autoSpaceDN w:val="0"/>
        <w:adjustRightInd w:val="0"/>
        <w:jc w:val="both"/>
        <w:rPr>
          <w:b/>
          <w:bCs/>
          <w:lang w:val="vi"/>
        </w:rPr>
      </w:pPr>
      <w:r w:rsidRPr="005B48D9">
        <w:rPr>
          <w:b/>
          <w:bCs/>
          <w:lang w:val="vi"/>
        </w:rPr>
        <w:tab/>
        <w:t xml:space="preserve">3.5. </w:t>
      </w:r>
      <w:r w:rsidRPr="005B48D9">
        <w:rPr>
          <w:b/>
          <w:bCs/>
        </w:rPr>
        <w:t>Về</w:t>
      </w:r>
      <w:r w:rsidRPr="005B48D9">
        <w:rPr>
          <w:b/>
          <w:bCs/>
          <w:lang w:val="vi"/>
        </w:rPr>
        <w:t xml:space="preserve"> quy định về nhập khẩu thuốc của cơ quan, tổ chức quy định tại Điều 35 Luật Dược (bao gồm cơ sở có hoạt động dược nhưng không vì mục đích thương mại) tuân thủ nguyên tắc, tiêu chuẩn Thực hành tốt bảo quản thuốc:</w:t>
      </w:r>
    </w:p>
    <w:p w14:paraId="594B63C2" w14:textId="38E1E825" w:rsidR="0089221C" w:rsidRPr="005B48D9" w:rsidRDefault="0089221C" w:rsidP="0012594D">
      <w:pPr>
        <w:shd w:val="clear" w:color="auto" w:fill="FFFFFF" w:themeFill="background1"/>
        <w:autoSpaceDE w:val="0"/>
        <w:autoSpaceDN w:val="0"/>
        <w:adjustRightInd w:val="0"/>
        <w:jc w:val="both"/>
        <w:rPr>
          <w:bCs/>
          <w:lang w:val="vi"/>
        </w:rPr>
      </w:pPr>
      <w:r w:rsidRPr="005B48D9">
        <w:rPr>
          <w:bCs/>
          <w:lang w:val="vi"/>
        </w:rPr>
        <w:tab/>
        <w:t xml:space="preserve">Khoản 11 Điều 82 Nghị định số 163/2025/NĐ-CP quy định cơ quan, tổ chức quy định tại Điều 35 Luật Dược tuân thủ nguyên tắc, tiêu chuẩn Thực hành tốt bảo quản thuốc được phép nhập khẩu thuốc thuộc trường hợp quy định tại Điều 53 của Nghị định này khi được Bộ Quốc phòng, Bộ Công an hoặc Bộ Y tế chỉ định trong văn bản đề nghị nhập khẩu; thuốc viện trợ, viện trợ nhân đạo khi được cơ quan quản lý nhà nước có thẩm quyền phê duyệt tiếp nhận viện trợ, viện trợ nhân đạo. </w:t>
      </w:r>
    </w:p>
    <w:p w14:paraId="0FDFA13B" w14:textId="6E38D9DE" w:rsidR="0089221C" w:rsidRPr="009A5096" w:rsidRDefault="0089221C" w:rsidP="0012594D">
      <w:pPr>
        <w:shd w:val="clear" w:color="auto" w:fill="FFFFFF" w:themeFill="background1"/>
        <w:autoSpaceDE w:val="0"/>
        <w:autoSpaceDN w:val="0"/>
        <w:adjustRightInd w:val="0"/>
        <w:jc w:val="both"/>
        <w:rPr>
          <w:bCs/>
          <w:lang w:val="vi"/>
        </w:rPr>
      </w:pPr>
      <w:r w:rsidRPr="005B48D9">
        <w:rPr>
          <w:bCs/>
          <w:lang w:val="vi"/>
        </w:rPr>
        <w:tab/>
        <w:t xml:space="preserve">Thực tế trong thời gian qua, một số vắc xin sử dụng trong Chương trình TCMR được mua qua tổ chức quốc tế (như UNICEF) theo hình thức lựa chọn nhà thầu cung cấp vắc xin trong trường hợp đặc biệt. Theo Biên bản/Hợp đồng ký kết với tổ chức quốc tế để mua sắm vắc xin và tại Quyết định phê duyệt phương án lựa chọn nhà thầu cung cấp vắc xin trong trường hợp đặc biệt có quy định về việc một số tổ chức có hoạt động dược không vì mục đích thương mại như Viện Vệ sinh dịch tễ Trung ương,.. sẽ thay mặt Chính phủ (Bộ Y tế) chịu trách nhiệm làm thủ tục tại cảng nhập, thủ tục hải quan và phân phối thuốc. Trường hợp vắc xin này không thuộc các trường hợp quy định tại khoản 11 Điều 82. </w:t>
      </w:r>
    </w:p>
    <w:p w14:paraId="113917DF" w14:textId="57F71BE7" w:rsidR="0089221C" w:rsidRPr="005B48D9" w:rsidRDefault="0089221C" w:rsidP="0012594D">
      <w:pPr>
        <w:shd w:val="clear" w:color="auto" w:fill="FFFFFF" w:themeFill="background1"/>
        <w:autoSpaceDE w:val="0"/>
        <w:autoSpaceDN w:val="0"/>
        <w:adjustRightInd w:val="0"/>
        <w:jc w:val="both"/>
        <w:rPr>
          <w:b/>
          <w:bCs/>
        </w:rPr>
      </w:pPr>
      <w:r w:rsidRPr="005B48D9">
        <w:rPr>
          <w:b/>
          <w:bCs/>
        </w:rPr>
        <w:tab/>
        <w:t xml:space="preserve">3.6. </w:t>
      </w:r>
      <w:r w:rsidR="00613560" w:rsidRPr="005B48D9">
        <w:rPr>
          <w:b/>
          <w:bCs/>
        </w:rPr>
        <w:t>Về</w:t>
      </w:r>
      <w:r w:rsidRPr="005B48D9">
        <w:rPr>
          <w:b/>
          <w:bCs/>
        </w:rPr>
        <w:t xml:space="preserve"> việc triển khai quy định về hủy thuốc phải kiểm soát đặc biệt tại Điều 36:</w:t>
      </w:r>
    </w:p>
    <w:p w14:paraId="0BFD0827" w14:textId="32DBA64C" w:rsidR="00725A41" w:rsidRPr="00A849AF" w:rsidRDefault="0089221C" w:rsidP="0012594D">
      <w:pPr>
        <w:shd w:val="clear" w:color="auto" w:fill="FFFFFF" w:themeFill="background1"/>
        <w:autoSpaceDE w:val="0"/>
        <w:autoSpaceDN w:val="0"/>
        <w:adjustRightInd w:val="0"/>
        <w:jc w:val="both"/>
        <w:rPr>
          <w:bCs/>
        </w:rPr>
      </w:pPr>
      <w:r w:rsidRPr="005B48D9">
        <w:rPr>
          <w:bCs/>
        </w:rPr>
        <w:tab/>
        <w:t>Khoản 6 Điều 36 quy định về việc hủy thuốc gây nghiện, thuốc hướng thần, thuốc tiền chất dạng dung dịch chưa sử dụng hết đơn vị đóng gói nhỏ nhất có dẫn chiếu tới quy định việc hủy thuốc có thể thực hiện theo quy định tại khoản 1 và 2 hoặc quy định tại khoản 5 Điều này nhưng không nêu rõ khi nào thì thực hiện theo khoản 1 và 2, trường hợp nào thì thực hiện theo khoản 5 dẫn tới có nhiều cách hiểu khác nhau, khó khăn trong thực hiện.</w:t>
      </w:r>
    </w:p>
    <w:p w14:paraId="2ADFE287" w14:textId="66B5FDAC" w:rsidR="0089221C" w:rsidRPr="005B48D9" w:rsidRDefault="0089221C" w:rsidP="0012594D">
      <w:pPr>
        <w:shd w:val="clear" w:color="auto" w:fill="FFFFFF" w:themeFill="background1"/>
        <w:autoSpaceDE w:val="0"/>
        <w:autoSpaceDN w:val="0"/>
        <w:adjustRightInd w:val="0"/>
        <w:jc w:val="both"/>
        <w:rPr>
          <w:b/>
          <w:bCs/>
          <w:lang w:val="vi"/>
        </w:rPr>
      </w:pPr>
      <w:r w:rsidRPr="005B48D9">
        <w:rPr>
          <w:b/>
          <w:bCs/>
        </w:rPr>
        <w:tab/>
        <w:t xml:space="preserve">3.7. </w:t>
      </w:r>
      <w:r w:rsidR="00613560" w:rsidRPr="005B48D9">
        <w:rPr>
          <w:b/>
          <w:bCs/>
        </w:rPr>
        <w:t>Về việc</w:t>
      </w:r>
      <w:r w:rsidRPr="005B48D9">
        <w:rPr>
          <w:b/>
          <w:bCs/>
          <w:lang w:val="vi"/>
        </w:rPr>
        <w:t xml:space="preserve"> cấp phép nhập khẩu thuốc, </w:t>
      </w:r>
      <w:r w:rsidR="00613560" w:rsidRPr="005B48D9">
        <w:rPr>
          <w:b/>
          <w:bCs/>
        </w:rPr>
        <w:t>nguyên liệu làm thuốc</w:t>
      </w:r>
      <w:r w:rsidRPr="005B48D9">
        <w:rPr>
          <w:b/>
          <w:bCs/>
          <w:lang w:val="vi"/>
        </w:rPr>
        <w:t xml:space="preserve"> phải kiểm soát đặc biệt:</w:t>
      </w:r>
    </w:p>
    <w:p w14:paraId="169C7B17" w14:textId="5664DE19" w:rsidR="0089221C" w:rsidRDefault="0089221C" w:rsidP="0012594D">
      <w:pPr>
        <w:shd w:val="clear" w:color="auto" w:fill="FFFFFF" w:themeFill="background1"/>
        <w:autoSpaceDE w:val="0"/>
        <w:autoSpaceDN w:val="0"/>
        <w:adjustRightInd w:val="0"/>
        <w:jc w:val="both"/>
        <w:rPr>
          <w:bCs/>
        </w:rPr>
      </w:pPr>
      <w:r w:rsidRPr="005B48D9">
        <w:rPr>
          <w:bCs/>
          <w:lang w:val="vi"/>
        </w:rPr>
        <w:tab/>
      </w:r>
      <w:r w:rsidRPr="005B48D9">
        <w:rPr>
          <w:bCs/>
        </w:rPr>
        <w:t xml:space="preserve">Cách ghi “kỳ báo cáo </w:t>
      </w:r>
      <w:r w:rsidRPr="005B48D9">
        <w:rPr>
          <w:b/>
          <w:bCs/>
        </w:rPr>
        <w:t>liền trước</w:t>
      </w:r>
      <w:r w:rsidRPr="005B48D9">
        <w:rPr>
          <w:bCs/>
        </w:rPr>
        <w:t xml:space="preserve">” </w:t>
      </w:r>
      <w:r w:rsidRPr="005B48D9">
        <w:rPr>
          <w:bCs/>
          <w:lang w:val="vi"/>
        </w:rPr>
        <w:t>tại khoản 3 Điều 65</w:t>
      </w:r>
      <w:r w:rsidRPr="005B48D9">
        <w:rPr>
          <w:bCs/>
        </w:rPr>
        <w:t xml:space="preserve"> </w:t>
      </w:r>
      <w:r w:rsidRPr="005B48D9">
        <w:rPr>
          <w:bCs/>
          <w:lang w:val="vi"/>
        </w:rPr>
        <w:t>(</w:t>
      </w:r>
      <w:r w:rsidRPr="005B48D9">
        <w:rPr>
          <w:bCs/>
          <w:i/>
          <w:iCs/>
          <w:lang w:val="vi"/>
        </w:rPr>
        <w:t xml:space="preserve">Đối với thuốc phải kiểm soát đặc biệt trừ thuốc độc, trường hợp tổng số lượng thuốc đề nghị nhập khẩu, số lượng thuốc còn tồn tại thời điểm lập Đơn hàng và số lượng thuốc còn có thể tiếp tục nhập khẩu từ các giấy phép nhập khẩu đã được cấp trước đó vượt quá 150% so với tổng nhu cầu kinh doanh thực tế trong kỳ báo cáo </w:t>
      </w:r>
      <w:r w:rsidRPr="005B48D9">
        <w:rPr>
          <w:b/>
          <w:bCs/>
          <w:i/>
          <w:iCs/>
          <w:lang w:val="vi"/>
        </w:rPr>
        <w:t>liền trước</w:t>
      </w:r>
      <w:r w:rsidRPr="005B48D9">
        <w:rPr>
          <w:b/>
          <w:bCs/>
          <w:i/>
          <w:iCs/>
        </w:rPr>
        <w:t>…</w:t>
      </w:r>
      <w:r w:rsidRPr="005B48D9">
        <w:rPr>
          <w:b/>
          <w:bCs/>
          <w:lang w:val="vi"/>
        </w:rPr>
        <w:t>)</w:t>
      </w:r>
      <w:r w:rsidRPr="005B48D9">
        <w:rPr>
          <w:bCs/>
        </w:rPr>
        <w:t xml:space="preserve"> và </w:t>
      </w:r>
      <w:r w:rsidRPr="005B48D9">
        <w:rPr>
          <w:bCs/>
          <w:lang w:val="vi"/>
        </w:rPr>
        <w:t>điểm đ khoản 1 Điều 66</w:t>
      </w:r>
      <w:r w:rsidRPr="005B48D9">
        <w:rPr>
          <w:bCs/>
        </w:rPr>
        <w:t xml:space="preserve"> </w:t>
      </w:r>
      <w:r w:rsidRPr="005B48D9">
        <w:rPr>
          <w:bCs/>
          <w:lang w:val="vi"/>
        </w:rPr>
        <w:t>(</w:t>
      </w:r>
      <w:r w:rsidRPr="005B48D9">
        <w:rPr>
          <w:bCs/>
          <w:i/>
          <w:iCs/>
          <w:lang w:val="vi"/>
        </w:rPr>
        <w:t xml:space="preserve">Đối với nguyên liệu phải kiểm soát đặc biệt trừ nguyên liệu độc làm thuốc, trường hợp tổng số lượng nguyên liệu đề nghị nhập khẩu, số lượng nguyên liệu còn tồn tại thời điểm lập Đơn hàng và số lượng nguyên liệu còn có thể tiếp tục nhập khẩu từ các giấy phép nhập khẩu đã được cấp trước đó vượt quá 150% so với tổng nhu cầu kinh doanh, sử dụng thực </w:t>
      </w:r>
      <w:r w:rsidRPr="005B48D9">
        <w:rPr>
          <w:bCs/>
          <w:i/>
          <w:iCs/>
          <w:lang w:val="vi"/>
        </w:rPr>
        <w:lastRenderedPageBreak/>
        <w:t>tế trong kỳ báo cáo</w:t>
      </w:r>
      <w:r w:rsidRPr="005B48D9">
        <w:rPr>
          <w:b/>
          <w:bCs/>
          <w:i/>
          <w:iCs/>
          <w:lang w:val="vi"/>
        </w:rPr>
        <w:t xml:space="preserve"> liền trước</w:t>
      </w:r>
      <w:r w:rsidRPr="005B48D9">
        <w:rPr>
          <w:b/>
          <w:bCs/>
          <w:i/>
          <w:iCs/>
        </w:rPr>
        <w:t>…</w:t>
      </w:r>
      <w:r w:rsidRPr="005B48D9">
        <w:rPr>
          <w:b/>
          <w:bCs/>
          <w:lang w:val="vi"/>
        </w:rPr>
        <w:t>)</w:t>
      </w:r>
      <w:r w:rsidRPr="005B48D9">
        <w:rPr>
          <w:bCs/>
        </w:rPr>
        <w:t xml:space="preserve"> chưa thống nhất với </w:t>
      </w:r>
      <w:r w:rsidRPr="005B48D9">
        <w:rPr>
          <w:bCs/>
          <w:lang w:val="vi"/>
        </w:rPr>
        <w:t>cách ghi tại điểm b khoản 1 Điều 38 “</w:t>
      </w:r>
      <w:r w:rsidRPr="005B48D9">
        <w:rPr>
          <w:bCs/>
          <w:i/>
          <w:iCs/>
          <w:lang w:val="vi"/>
        </w:rPr>
        <w:t>Văn bản giải thích rõ lý do khi tổng số lượng thuốc đề nghị mua và số lượng tồn kho vượt quá 150% so với tổng nhu cầu kinh doanh, sử dụng trong kỳ báo cáo</w:t>
      </w:r>
      <w:r w:rsidRPr="005B48D9">
        <w:rPr>
          <w:bCs/>
          <w:lang w:val="vi"/>
        </w:rPr>
        <w:t>”</w:t>
      </w:r>
      <w:r w:rsidRPr="005B48D9">
        <w:rPr>
          <w:bCs/>
        </w:rPr>
        <w:t>.</w:t>
      </w:r>
    </w:p>
    <w:p w14:paraId="052E8508" w14:textId="65F66C2C" w:rsidR="00725A41" w:rsidRPr="004F0A17" w:rsidRDefault="00725A41" w:rsidP="0012594D">
      <w:pPr>
        <w:shd w:val="clear" w:color="auto" w:fill="FFFFFF" w:themeFill="background1"/>
        <w:autoSpaceDE w:val="0"/>
        <w:autoSpaceDN w:val="0"/>
        <w:adjustRightInd w:val="0"/>
        <w:jc w:val="both"/>
        <w:rPr>
          <w:color w:val="000000" w:themeColor="text1"/>
          <w:spacing w:val="-4"/>
          <w:lang w:val="vi-VN"/>
        </w:rPr>
      </w:pPr>
      <w:r>
        <w:tab/>
        <w:t>Ngoài ra, tại điểm e khoản 1 Điều 66, dấu câu sử dụng để phân định các nhóm nguyên liệu và trường hợp miễn nộp tài liệu còn có thể gây cách hiểu khác nhau về phạm vi áp dụng. Đây là nội dung kỹ thuật cần chỉnh sửa để tránh phát sinh yêu cầu hồ sơ không thống nhất.</w:t>
      </w:r>
    </w:p>
    <w:p w14:paraId="468BC107" w14:textId="72359902" w:rsidR="009A5096" w:rsidRPr="009A5096" w:rsidRDefault="009A5096" w:rsidP="0012594D">
      <w:pPr>
        <w:shd w:val="clear" w:color="auto" w:fill="FFFFFF" w:themeFill="background1"/>
        <w:autoSpaceDE w:val="0"/>
        <w:autoSpaceDN w:val="0"/>
        <w:adjustRightInd w:val="0"/>
        <w:jc w:val="both"/>
        <w:rPr>
          <w:b/>
          <w:bCs/>
          <w:lang w:val="vi"/>
        </w:rPr>
      </w:pPr>
      <w:r>
        <w:rPr>
          <w:bCs/>
        </w:rPr>
        <w:tab/>
      </w:r>
      <w:r w:rsidRPr="009A5096">
        <w:rPr>
          <w:b/>
        </w:rPr>
        <w:t>3.8. Về phân cấp thẩm quyền giải quyết thủ tục xác nhận nội dung quảng cáo thuốc:</w:t>
      </w:r>
    </w:p>
    <w:p w14:paraId="4E9A0B0F" w14:textId="0F559A59" w:rsidR="009A5096" w:rsidRPr="009A5096" w:rsidRDefault="009A5096" w:rsidP="0012594D">
      <w:pPr>
        <w:shd w:val="clear" w:color="auto" w:fill="FFFFFF" w:themeFill="background1"/>
        <w:autoSpaceDE w:val="0"/>
        <w:autoSpaceDN w:val="0"/>
        <w:adjustRightInd w:val="0"/>
        <w:jc w:val="both"/>
        <w:rPr>
          <w:bCs/>
          <w:lang w:val="vi"/>
        </w:rPr>
      </w:pPr>
      <w:r w:rsidRPr="009A5096">
        <w:tab/>
        <w:t>Theo Phương án phân cấp trong giải quyết thủ tục hành chính được Thủ tướng Chính phủ phê duyệt tại Quyết định số 1015/QĐ-TTg ngày 30/8/2022, thủ tục xác nhận nội dung quảng cáo thuốc thuộc nhóm thủ tục được định hướng phân cấp cho địa phương giải quyết. Hiện thủ tục này đang được thực hiện tập trung tại Bộ Y tế và đang được sửa đổi tại Dự thảo Luật sửa đổi, bổ sung một số điều của Luật Trẻ em, Luật Người khuyết tật, Luật Khám bệnh, chữa bệnh, Luật Dược, Luật Người cao tuổi và Luật Bảo hiểm y tế theo hướng phân cấp về địa phương. Để triển khai phân cấp, cần sửa đổi, bổ sung đồng bộ các quy định về thẩm quyền, hồ sơ, trình tự, thủ tục, biểu mẫu tại Nghị định số 163/2025/NĐ-CP, bảo đảm thống nhất với quy định của Luật Dược về quảng cáo thuốc và năng lực tổ chức thực hiện của địa phương.</w:t>
      </w:r>
    </w:p>
    <w:p w14:paraId="64B2349C" w14:textId="77777777" w:rsidR="00725A41" w:rsidRPr="004F0A17" w:rsidRDefault="00725A41" w:rsidP="0012594D">
      <w:pPr>
        <w:shd w:val="clear" w:color="auto" w:fill="FFFFFF" w:themeFill="background1"/>
        <w:autoSpaceDE w:val="0"/>
        <w:autoSpaceDN w:val="0"/>
        <w:adjustRightInd w:val="0"/>
        <w:jc w:val="both"/>
        <w:rPr>
          <w:color w:val="000000" w:themeColor="text1"/>
          <w:spacing w:val="-4"/>
          <w:lang w:val="vi-VN"/>
        </w:rPr>
      </w:pPr>
      <w:r>
        <w:tab/>
        <w:t>Qua rà soát Điều 106, 107, 108 và 110, việc thay đổi cơ quan giải quyết thủ tục đòi hỏi điều chỉnh đồng bộ cơ quan nhận hồ sơ, yêu cầu về tài liệu do cơ quan có thẩm quyền cấp, quy trình thẩm định, công khai nội dung quảng cáo đã xác nhận, đồng thời xác định giá trị trên phạm vi toàn quốc của giấy xác nhận do địa phương cấp. Mẫu số 03, 04 và mã ký hiệu cơ quan giải quyết tại Phụ lục VI cũng phải được cập nhật tương ứng. Nếu chỉ thay đổi tên cơ quan tại một điều mà không sửa các quy định có liên quan, việc tiếp nhận và sử dụng giấy xác nhận có thể thiếu thống nhất giữa các địa phương. Nội dung miễn nộp giấy tờ đã có trên cơ sở dữ liệu được xem xét chung tại mục 3.10 dưới đây.</w:t>
      </w:r>
    </w:p>
    <w:p w14:paraId="6191F251" w14:textId="6E22F83C" w:rsidR="00725A41" w:rsidRDefault="00471509" w:rsidP="0012594D">
      <w:pPr>
        <w:shd w:val="clear" w:color="auto" w:fill="FFFFFF" w:themeFill="background1"/>
        <w:autoSpaceDE w:val="0"/>
        <w:autoSpaceDN w:val="0"/>
        <w:adjustRightInd w:val="0"/>
        <w:jc w:val="both"/>
        <w:rPr>
          <w:b/>
          <w:bCs/>
        </w:rPr>
      </w:pPr>
      <w:r>
        <w:rPr>
          <w:bCs/>
        </w:rPr>
        <w:tab/>
      </w:r>
      <w:r w:rsidR="009A5096">
        <w:rPr>
          <w:b/>
          <w:bCs/>
        </w:rPr>
        <w:t>3.9</w:t>
      </w:r>
      <w:r w:rsidRPr="00471509">
        <w:rPr>
          <w:b/>
          <w:bCs/>
        </w:rPr>
        <w:t>. Về việc giá bán buôn thuốc dự kiến</w:t>
      </w:r>
      <w:r>
        <w:rPr>
          <w:b/>
          <w:bCs/>
        </w:rPr>
        <w:t xml:space="preserve">: </w:t>
      </w:r>
    </w:p>
    <w:p w14:paraId="2399210F" w14:textId="38003FAB" w:rsidR="00725A41" w:rsidRPr="004F0A17" w:rsidRDefault="00725A41" w:rsidP="0012594D">
      <w:pPr>
        <w:shd w:val="clear" w:color="auto" w:fill="FFFFFF" w:themeFill="background1"/>
        <w:autoSpaceDE w:val="0"/>
        <w:autoSpaceDN w:val="0"/>
        <w:adjustRightInd w:val="0"/>
        <w:jc w:val="both"/>
        <w:rPr>
          <w:color w:val="000000" w:themeColor="text1"/>
          <w:spacing w:val="-4"/>
          <w:lang w:val="vi-VN"/>
        </w:rPr>
      </w:pPr>
      <w:r>
        <w:rPr>
          <w:b/>
          <w:bCs/>
        </w:rPr>
        <w:tab/>
      </w:r>
      <w:r w:rsidR="004F0A17" w:rsidRPr="004F0A17">
        <w:rPr>
          <w:color w:val="000000"/>
          <w:spacing w:val="-4"/>
          <w:lang w:val="vi-VN"/>
        </w:rPr>
        <w:t xml:space="preserve">Khoản 5 Điều 114 quy định </w:t>
      </w:r>
      <w:r w:rsidR="004F0A17" w:rsidRPr="004F0A17">
        <w:rPr>
          <w:color w:val="000000"/>
          <w:spacing w:val="-4"/>
        </w:rPr>
        <w:t xml:space="preserve">Bộ Y tế rà soát thông tin và công khai trong 07 ngày làm việc tạo khoảng </w:t>
      </w:r>
      <w:r w:rsidR="00240D5F">
        <w:rPr>
          <w:color w:val="000000"/>
          <w:spacing w:val="-4"/>
        </w:rPr>
        <w:t>trống</w:t>
      </w:r>
      <w:r w:rsidR="004F0A17" w:rsidRPr="004F0A17">
        <w:rPr>
          <w:color w:val="000000"/>
          <w:spacing w:val="-4"/>
        </w:rPr>
        <w:t xml:space="preserve"> giữa thời điểm doanh nghiệp hoàn thành thủ tục và thời điểm thông tin giá được công khai, </w:t>
      </w:r>
      <w:r w:rsidR="004F0A17" w:rsidRPr="004F0A17">
        <w:rPr>
          <w:color w:val="000000"/>
          <w:spacing w:val="-4"/>
          <w:lang w:val="vi-VN"/>
        </w:rPr>
        <w:t xml:space="preserve">doanh nghiệp lúng túng trong quá trình thực hiện. </w:t>
      </w:r>
    </w:p>
    <w:p w14:paraId="32F91FA5" w14:textId="2FB5F365" w:rsidR="00725A41" w:rsidRPr="001F0A4A" w:rsidRDefault="00725A41" w:rsidP="0012594D">
      <w:pPr>
        <w:ind w:firstLine="720"/>
        <w:jc w:val="both"/>
        <w:rPr>
          <w:color w:val="000000" w:themeColor="text1"/>
          <w:spacing w:val="-4"/>
          <w:lang w:val="vi-VN"/>
        </w:rPr>
      </w:pPr>
      <w:r w:rsidRPr="001F0A4A">
        <w:rPr>
          <w:color w:val="000000" w:themeColor="text1"/>
          <w:spacing w:val="-4"/>
          <w:lang w:val="vi-VN"/>
        </w:rPr>
        <w:t>Tại Điều 114 cũng chưa quy định trách nhiệm của doanh nghiệp trong việc chủ động rà soát giá bán buôn thuốc dự kiến đã công bố nhằm bảo đảm điều chỉnh kịp thời theo tình hình thực tiễn. Ngoài ra, tại Điều 114 cũng chưa có quy định về trách nhiệm của cơ sở uỷ thác nhập khẩu, cơ sở nhập khẩu uỷ thác, cơ sở bán buôn cho doanh nghiệp nhập khẩu có vốn đầu tư nước ngoài (FIE) trong việc phối hợp, cung cấp thông tin để bảo đảm giá bán buôn thuốc dự kiến phù hợp với toàn chuỗi.</w:t>
      </w:r>
    </w:p>
    <w:p w14:paraId="1A3FC6D3" w14:textId="72473CA2" w:rsidR="00725A41" w:rsidRPr="001F0A4A" w:rsidRDefault="00725A41" w:rsidP="0012594D">
      <w:pPr>
        <w:ind w:firstLine="720"/>
        <w:jc w:val="both"/>
        <w:rPr>
          <w:color w:val="000000" w:themeColor="text1"/>
          <w:spacing w:val="-4"/>
        </w:rPr>
      </w:pPr>
      <w:r w:rsidRPr="001F0A4A">
        <w:rPr>
          <w:color w:val="000000" w:themeColor="text1"/>
          <w:spacing w:val="-4"/>
          <w:lang w:val="vi-VN"/>
        </w:rPr>
        <w:t xml:space="preserve">Khoản 2 Điều 119 quy định doanh nghiệp có trách nhiệm báo cáo, giải trình các nội dung kiến nghị, đồng thời tại điểm b khoản 3 Điều 66 Nghị định số </w:t>
      </w:r>
      <w:r w:rsidRPr="001F0A4A">
        <w:rPr>
          <w:color w:val="000000" w:themeColor="text1"/>
          <w:spacing w:val="-4"/>
          <w:lang w:val="vi-VN"/>
        </w:rPr>
        <w:lastRenderedPageBreak/>
        <w:t xml:space="preserve">90/2026/NĐ-CP ngày 30/3/2026 có quy định về xử phạt doanh nghiệp không báo cáo, giải trình nội dung kiến nghị theo yêu cầu của cơ quan quản lý nhà nước; tuy nhiên Nghị định 163/2025/NĐ-CP chưa có quy định về thời hạn doanh nghiệp phải thực hiện báo cáo, giải trình dẫn đến khó khăn trong quá trình tổ chức thực hiện. Bên cạnh đó, nội dung quy định tại Điều 119 Nghị định số 163/2025/NĐ-CP  cần được chỉnh sửa phù hợp với khoản 4 Điều 107 Luật Dược. </w:t>
      </w:r>
    </w:p>
    <w:p w14:paraId="6C84F8A8" w14:textId="118740A5" w:rsidR="003B6A0C" w:rsidRDefault="00725A41" w:rsidP="0012594D">
      <w:pPr>
        <w:shd w:val="clear" w:color="auto" w:fill="FFFFFF" w:themeFill="background1"/>
        <w:autoSpaceDE w:val="0"/>
        <w:autoSpaceDN w:val="0"/>
        <w:adjustRightInd w:val="0"/>
        <w:jc w:val="both"/>
        <w:rPr>
          <w:color w:val="000000" w:themeColor="text1"/>
          <w:spacing w:val="-4"/>
          <w:lang w:val="vi-VN"/>
        </w:rPr>
      </w:pPr>
      <w:r>
        <w:tab/>
        <w:t>Bên cạnh đó, quy định hiện hành chưa làm rõ các trường hợp thuốc có tính chất đặc thù được thực hiện công bố giá bán buôn thuốc dự kiến sau khi đã bán lô đầu tiên. Đối với thuốc phóng xạ, thuốc phục vụ quốc phòng, an ninh, thiên tai, thảm họa; thuốc cấp cứu, chống độc, chống thải ghép; thuốc chẩn đoán, dự phòng hoặc điều trị bệnh truyền nhiễm nhóm A, cần có quy định hướng dẫn phù hợp nhằm bảo đảm cung ứng kịp thời gắn với nghĩa vụ công bố giá và hậu kiểm (nội dung dự kiến bổ sung tại Điều 115a).</w:t>
      </w:r>
    </w:p>
    <w:p w14:paraId="5076D9F9" w14:textId="64548808" w:rsidR="003B6A0C" w:rsidRDefault="003B6A0C" w:rsidP="0012594D">
      <w:pPr>
        <w:shd w:val="clear" w:color="auto" w:fill="FFFFFF" w:themeFill="background1"/>
        <w:autoSpaceDE w:val="0"/>
        <w:autoSpaceDN w:val="0"/>
        <w:adjustRightInd w:val="0"/>
        <w:jc w:val="both"/>
        <w:rPr>
          <w:color w:val="000000" w:themeColor="text1"/>
          <w:spacing w:val="-4"/>
          <w:lang w:val="vi-VN"/>
        </w:rPr>
      </w:pPr>
      <w:r>
        <w:rPr>
          <w:color w:val="000000" w:themeColor="text1"/>
          <w:spacing w:val="-4"/>
          <w:lang w:val="vi-VN"/>
        </w:rPr>
        <w:tab/>
      </w:r>
      <w:r w:rsidR="0050547B">
        <w:rPr>
          <w:b/>
        </w:rPr>
        <w:t>3.10</w:t>
      </w:r>
      <w:r w:rsidR="009A5096">
        <w:rPr>
          <w:b/>
        </w:rPr>
        <w:t>. Về mua, bán thuốc kiểm soát đặc biệt theo khoản 6 Điều 34:</w:t>
      </w:r>
    </w:p>
    <w:p w14:paraId="6A8A1603" w14:textId="77777777" w:rsidR="00BD24EC" w:rsidRDefault="003B6A0C" w:rsidP="0012594D">
      <w:pPr>
        <w:shd w:val="clear" w:color="auto" w:fill="FFFFFF" w:themeFill="background1"/>
        <w:autoSpaceDE w:val="0"/>
        <w:autoSpaceDN w:val="0"/>
        <w:adjustRightInd w:val="0"/>
        <w:jc w:val="both"/>
        <w:rPr>
          <w:color w:val="000000" w:themeColor="text1"/>
          <w:spacing w:val="-4"/>
        </w:rPr>
      </w:pPr>
      <w:r>
        <w:rPr>
          <w:color w:val="000000" w:themeColor="text1"/>
          <w:spacing w:val="-4"/>
          <w:lang w:val="vi-VN"/>
        </w:rPr>
        <w:tab/>
      </w:r>
      <w:r w:rsidR="00215F9B" w:rsidRPr="00215F9B">
        <w:rPr>
          <w:color w:val="000000" w:themeColor="text1"/>
          <w:spacing w:val="-4"/>
        </w:rPr>
        <w:t>Việc quy định về việc duyệt Đơn hàng mua thuốc gây nghiện, thuốc hướng thần, thuốc tiền chất và thuốc dạng phối hợp có chứa tiền chất nhằm kiểm soát chặt chẽ việc mua bán và đường đi của thuốc do nguy cơ bị lạm dụng vào mục đích bất hợp pháp. Việc các cơ sở thực hiện mua sắm qua đấu thầu chỉ đảm bảo cơ chế minh bạch về tài chính trong khi cơ quan quản lý nhà nước tại địa phương không có được thông tin kịp thời về việc mua bán thuốc giữa các cơ sở, dẫn tới khó khăn trong quản lý, kiểm soát.</w:t>
      </w:r>
      <w:r w:rsidR="00215F9B">
        <w:rPr>
          <w:color w:val="000000" w:themeColor="text1"/>
          <w:spacing w:val="-4"/>
        </w:rPr>
        <w:t xml:space="preserve"> </w:t>
      </w:r>
      <w:r w:rsidR="00215F9B" w:rsidRPr="00215F9B">
        <w:rPr>
          <w:color w:val="000000" w:themeColor="text1"/>
          <w:spacing w:val="-4"/>
        </w:rPr>
        <w:t xml:space="preserve">Việc điều chỉnh vừa để đảm bảo phù hợp với thực tiễn triển khai quy định về đấu thầu </w:t>
      </w:r>
      <w:r w:rsidR="00215F9B">
        <w:rPr>
          <w:color w:val="000000" w:themeColor="text1"/>
          <w:spacing w:val="-4"/>
        </w:rPr>
        <w:t>mà vẫn đáp ứng mục tiêu quản lý</w:t>
      </w:r>
      <w:r w:rsidR="00725A41">
        <w:t>. Quy định tại điểm a khoản 6 Điều 34 cần làm rõ chủ thể có thẩm quyền, phạm vi áp dụng trường hợp mua thuốc theo kết quả trúng thầu và cơ chế quản lý phù hợp, tránh cách hiểu khác nhau về việc phải phê duyệt Đơn hàng.</w:t>
      </w:r>
    </w:p>
    <w:p w14:paraId="45B0F499" w14:textId="2E4818BD" w:rsidR="005605DA" w:rsidRDefault="00BD24EC" w:rsidP="0012594D">
      <w:pPr>
        <w:shd w:val="clear" w:color="auto" w:fill="FFFFFF" w:themeFill="background1"/>
        <w:autoSpaceDE w:val="0"/>
        <w:autoSpaceDN w:val="0"/>
        <w:adjustRightInd w:val="0"/>
        <w:jc w:val="both"/>
        <w:rPr>
          <w:color w:val="000000" w:themeColor="text1"/>
          <w:spacing w:val="-4"/>
        </w:rPr>
      </w:pPr>
      <w:r>
        <w:rPr>
          <w:color w:val="000000" w:themeColor="text1"/>
          <w:spacing w:val="-4"/>
        </w:rPr>
        <w:tab/>
      </w:r>
      <w:r w:rsidR="0050547B">
        <w:rPr>
          <w:b/>
        </w:rPr>
        <w:t>3.11</w:t>
      </w:r>
      <w:r w:rsidR="009A5096">
        <w:rPr>
          <w:b/>
        </w:rPr>
        <w:t>. Về điều chuyển nội bộ thuốc chưa có giấy đăng ký lưu hành nhập khẩu để đáp ứng nhu cầu điều trị đặc biệt theo Điều 85:</w:t>
      </w:r>
    </w:p>
    <w:p w14:paraId="2E7B1213" w14:textId="2F077C6A" w:rsidR="00725A41" w:rsidRPr="005605DA" w:rsidRDefault="005605DA" w:rsidP="0012594D">
      <w:pPr>
        <w:shd w:val="clear" w:color="auto" w:fill="FFFFFF" w:themeFill="background1"/>
        <w:autoSpaceDE w:val="0"/>
        <w:autoSpaceDN w:val="0"/>
        <w:adjustRightInd w:val="0"/>
        <w:jc w:val="both"/>
        <w:rPr>
          <w:color w:val="000000" w:themeColor="text1"/>
          <w:spacing w:val="-4"/>
        </w:rPr>
      </w:pPr>
      <w:r>
        <w:rPr>
          <w:color w:val="000000" w:themeColor="text1"/>
          <w:spacing w:val="-4"/>
        </w:rPr>
        <w:tab/>
      </w:r>
      <w:r w:rsidR="00725A41">
        <w:t>Đối với thuốc nhập khẩu cho người bệnh cụ thể theo điểm c khoản 1 Điều 54, có thể phát sinh tình huống người bệnh nêu trong hồ sơ nhập khẩu không còn điều trị tại cơ sở trong khi cơ sở vẫn có người bệnh khác cần sử dụng loại thuốc này. Quy định hiện hành về điều chuyển chưa làm rõ việc điều chuyển trong nội bộ cùng cơ sở khám bệnh, chữa bệnh, làm hạn chế tính linh hoạt trong điều trị và có thể dẫn tới tồn đọng thuốc cục bộ. Cần có cơ chế cho phép điều chuyển cho người bệnh khác tại chính cơ sở trên cơ sở ý kiến Hội đồng thuốc và điều trị, đúng mục đích sử dụng của thuốc và gắn với trách nhiệm của người đứng đầu cơ sở.</w:t>
      </w:r>
    </w:p>
    <w:p w14:paraId="42712105" w14:textId="0AD957BD" w:rsidR="009A5096" w:rsidRPr="009A5096" w:rsidRDefault="0050547B" w:rsidP="0012594D">
      <w:pPr>
        <w:keepNext/>
        <w:shd w:val="clear" w:color="auto" w:fill="FFFFFF" w:themeFill="background1"/>
        <w:autoSpaceDE w:val="0"/>
        <w:autoSpaceDN w:val="0"/>
        <w:adjustRightInd w:val="0"/>
        <w:jc w:val="both"/>
        <w:rPr>
          <w:b/>
          <w:bCs/>
          <w:lang w:val="vi"/>
        </w:rPr>
      </w:pPr>
      <w:r>
        <w:rPr>
          <w:b/>
        </w:rPr>
        <w:tab/>
        <w:t>3.12</w:t>
      </w:r>
      <w:r w:rsidR="009A5096">
        <w:rPr>
          <w:b/>
        </w:rPr>
        <w:t>. Về bảo đảm sự thống nhất với pháp luật có liên quan và yêu cầu chia sẻ dữ liệu quản lý:</w:t>
      </w:r>
    </w:p>
    <w:p w14:paraId="090C868D" w14:textId="768B0BFA" w:rsidR="00725A41" w:rsidRPr="004F0A17" w:rsidRDefault="00725A41" w:rsidP="0012594D">
      <w:pPr>
        <w:shd w:val="clear" w:color="auto" w:fill="FFFFFF" w:themeFill="background1"/>
        <w:autoSpaceDE w:val="0"/>
        <w:autoSpaceDN w:val="0"/>
        <w:adjustRightInd w:val="0"/>
        <w:jc w:val="both"/>
        <w:rPr>
          <w:color w:val="000000" w:themeColor="text1"/>
          <w:spacing w:val="-4"/>
          <w:lang w:val="vi-VN"/>
        </w:rPr>
      </w:pPr>
      <w:r>
        <w:tab/>
        <w:t>Khoản 1 Điều 1</w:t>
      </w:r>
      <w:r w:rsidR="00E930EF">
        <w:t xml:space="preserve"> và khoản 4 Điều 130</w:t>
      </w:r>
      <w:r>
        <w:t xml:space="preserve"> cần được rà soát, cập nhật các căn cứ và nội dung được giao quy định chi tiết khi </w:t>
      </w:r>
      <w:r w:rsidR="00E4643C" w:rsidRPr="00E4643C">
        <w:rPr>
          <w:bCs/>
          <w:lang w:val="vi-VN"/>
        </w:rPr>
        <w:t>Luật sửa đổi bổ sung một số điều của Luật Trẻ em, Luật Người khuyết tật, Luật Khám bệnh, chữa bệnh, Luật Dược, Luật Người cao tuổi và Luật Bảo hiểm y tế</w:t>
      </w:r>
      <w:r w:rsidR="00E930EF">
        <w:rPr>
          <w:bCs/>
        </w:rPr>
        <w:t xml:space="preserve"> (dự thảo Luật)</w:t>
      </w:r>
      <w:r w:rsidR="00E4643C" w:rsidRPr="00E4643C">
        <w:t xml:space="preserve"> </w:t>
      </w:r>
      <w:r>
        <w:t>được ban hành, bảo đảm phạm vi điều chỉnh của</w:t>
      </w:r>
      <w:r w:rsidR="00E63FF8">
        <w:t xml:space="preserve"> Nghị định tương thích với luật.</w:t>
      </w:r>
    </w:p>
    <w:p w14:paraId="4E25F049" w14:textId="6C6C4E7E" w:rsidR="00725A41" w:rsidRDefault="00725A41" w:rsidP="0012594D">
      <w:pPr>
        <w:shd w:val="clear" w:color="auto" w:fill="FFFFFF" w:themeFill="background1"/>
        <w:autoSpaceDE w:val="0"/>
        <w:autoSpaceDN w:val="0"/>
        <w:adjustRightInd w:val="0"/>
        <w:jc w:val="both"/>
      </w:pPr>
      <w:r>
        <w:lastRenderedPageBreak/>
        <w:tab/>
        <w:t xml:space="preserve">Khoản 7 Điều 82 quy định nguyên liệu làm thuốc nhập khẩu không phải thực hiện thủ tục khai báo hóa chất; nội dung này cần được rà soát về </w:t>
      </w:r>
      <w:r w:rsidR="001D3539">
        <w:t>sự phù hợp</w:t>
      </w:r>
      <w:r>
        <w:t xml:space="preserve"> với khoản 6 Điều 12 Luật Hóa chất và </w:t>
      </w:r>
      <w:r w:rsidR="001D3539">
        <w:t xml:space="preserve">tính thống nhất </w:t>
      </w:r>
      <w:r>
        <w:t xml:space="preserve">Điều 6 Nghị định số 26/2026/NĐ-CP theo nội dung đối chiếu của dự thảo. </w:t>
      </w:r>
    </w:p>
    <w:p w14:paraId="297000BA" w14:textId="43B421D4" w:rsidR="0050547B" w:rsidRPr="0050547B" w:rsidRDefault="0050547B" w:rsidP="0012594D">
      <w:pPr>
        <w:shd w:val="clear" w:color="auto" w:fill="FFFFFF" w:themeFill="background1"/>
        <w:autoSpaceDE w:val="0"/>
        <w:autoSpaceDN w:val="0"/>
        <w:adjustRightInd w:val="0"/>
        <w:jc w:val="both"/>
        <w:rPr>
          <w:b/>
          <w:bCs/>
          <w:lang w:val="vi"/>
        </w:rPr>
      </w:pPr>
      <w:r>
        <w:tab/>
      </w:r>
      <w:r>
        <w:rPr>
          <w:b/>
        </w:rPr>
        <w:t>3.13</w:t>
      </w:r>
      <w:r w:rsidRPr="0050547B">
        <w:rPr>
          <w:b/>
        </w:rPr>
        <w:t>. Về yêu cầu cắt giảm, đơn giản hóa thành phần hồ sơ trên cơ sở khai thác, chia sẻ dữ liệu theo Nghị quyết số 66.7/2025/NQ-CP:</w:t>
      </w:r>
    </w:p>
    <w:p w14:paraId="48D8A03C" w14:textId="77777777" w:rsidR="0050547B" w:rsidRPr="0050547B" w:rsidRDefault="0050547B" w:rsidP="0012594D">
      <w:pPr>
        <w:shd w:val="clear" w:color="auto" w:fill="FFFFFF" w:themeFill="background1"/>
        <w:autoSpaceDE w:val="0"/>
        <w:autoSpaceDN w:val="0"/>
        <w:adjustRightInd w:val="0"/>
        <w:jc w:val="both"/>
        <w:rPr>
          <w:lang w:val="vi-VN"/>
        </w:rPr>
      </w:pPr>
      <w:r w:rsidRPr="0050547B">
        <w:tab/>
        <w:t>Việc thực hiện thủ tục hành chính trong lĩnh vực dược vẫn có những thành phần hồ sơ phải nộp lại mặc dù thông tin hoặc giấy tờ tương ứng đã được cơ quan nhà nước cấp, cập nhật hoặc có thể khai thác, chia sẻ thông qua cơ sở dữ liệu và hệ thống giải quyết thủ tục hành chính. Quy định về hồ sơ cấp, cấp lại, điều chỉnh Chứng chỉ hành nghề dược (Điều 2, 3, 4), cấp phép xuất khẩu thuốc phải kiểm soát đặc biệt không vì mục đích thương mại (Điều 46), giấy tờ chuyên ngành khi thông quan (Điều 83), đăng ký lưu hành dược liệu, tá dược, vỏ nang (Điều 90), xác nhận nội dung quảng cáo thuốc (Điều 106, 107) và các Mẫu số 10, 11, 12 tại Phụ lục I cần được rà soát đồng bộ theo phương án tại Nghị quyết số 66.7/2025/NQ-CP.</w:t>
      </w:r>
    </w:p>
    <w:p w14:paraId="3987EE45" w14:textId="6A41E014" w:rsidR="0050547B" w:rsidRPr="0050547B" w:rsidRDefault="0050547B" w:rsidP="0012594D">
      <w:pPr>
        <w:shd w:val="clear" w:color="auto" w:fill="FFFFFF" w:themeFill="background1"/>
        <w:autoSpaceDE w:val="0"/>
        <w:autoSpaceDN w:val="0"/>
        <w:adjustRightInd w:val="0"/>
        <w:jc w:val="both"/>
        <w:rPr>
          <w:b/>
          <w:bCs/>
          <w:lang w:val="vi"/>
        </w:rPr>
      </w:pPr>
      <w:r>
        <w:rPr>
          <w:b/>
        </w:rPr>
        <w:tab/>
        <w:t>3.14</w:t>
      </w:r>
      <w:r w:rsidRPr="0050547B">
        <w:rPr>
          <w:b/>
        </w:rPr>
        <w:t>. Về cắt giảm điều kiện đối với bán lẻ thuốc lưu động và giao, nhận, vận chuyển thuốc phóng xạ theo Nghị quyết số 66.16/2026/NQ-CP:</w:t>
      </w:r>
    </w:p>
    <w:p w14:paraId="4F07B571" w14:textId="24223DC0" w:rsidR="0050547B" w:rsidRPr="0050547B" w:rsidRDefault="0050547B" w:rsidP="0012594D">
      <w:pPr>
        <w:shd w:val="clear" w:color="auto" w:fill="FFFFFF" w:themeFill="background1"/>
        <w:autoSpaceDE w:val="0"/>
        <w:autoSpaceDN w:val="0"/>
        <w:adjustRightInd w:val="0"/>
        <w:jc w:val="both"/>
        <w:rPr>
          <w:lang w:val="vi-VN"/>
        </w:rPr>
      </w:pPr>
      <w:r w:rsidRPr="0050547B">
        <w:tab/>
        <w:t>Khoản 3 Điều 26 yêu cầu thuốc bán lẻ lưu động phải còn hạn dùng tối thiểu 06 tháng; Điều 33 đặt ra một số yêu cầu đối với giao, nhận, vận chuyển thuốc phóng xạ. Theo phương án cắt giảm, đơn giản hóa quy định liên quan đến hoạt động sản xuất, kinh doanh, các nội dung này cần được rà soát theo hướng bãi bỏ hoặc điều chỉnh điều kiện không còn cần thiết, đồng thời bảo đảm yêu cầu bảo quản thuốc, an ninh và an toàn bức xạ theo pháp luật chuyên ngành. Phương án cắt giảm cần được thể hiện cụ thể trong các quy định sửa đổi Điều 26 và Điều 33 để bảo đảm thống nhất giữa mục tiêu cải cách và yêu cầu áp dụng trên thực tế.</w:t>
      </w:r>
    </w:p>
    <w:p w14:paraId="1EE5B981" w14:textId="7BB70C74" w:rsidR="008956C4" w:rsidRDefault="00BE74D9" w:rsidP="0012594D">
      <w:pPr>
        <w:keepNext/>
        <w:shd w:val="clear" w:color="auto" w:fill="FFFFFF" w:themeFill="background1"/>
        <w:autoSpaceDE w:val="0"/>
        <w:autoSpaceDN w:val="0"/>
        <w:adjustRightInd w:val="0"/>
        <w:jc w:val="both"/>
        <w:rPr>
          <w:b/>
          <w:bCs/>
          <w:lang w:val="vi-VN"/>
        </w:rPr>
      </w:pPr>
      <w:r w:rsidRPr="005B48D9">
        <w:rPr>
          <w:b/>
          <w:bCs/>
          <w:lang w:val="en"/>
        </w:rPr>
        <w:tab/>
        <w:t>4. Xác đ</w:t>
      </w:r>
      <w:r w:rsidRPr="005B48D9">
        <w:rPr>
          <w:b/>
          <w:bCs/>
          <w:lang w:val="vi-VN"/>
        </w:rPr>
        <w:t>ịnh những vấn đề mới ph</w:t>
      </w:r>
      <w:r w:rsidRPr="005B48D9">
        <w:rPr>
          <w:b/>
          <w:bCs/>
        </w:rPr>
        <w:t>át sinh trong th</w:t>
      </w:r>
      <w:r w:rsidRPr="005B48D9">
        <w:rPr>
          <w:b/>
          <w:bCs/>
          <w:lang w:val="vi-VN"/>
        </w:rPr>
        <w:t>ực tiễn</w:t>
      </w:r>
    </w:p>
    <w:p w14:paraId="0766C92F" w14:textId="79BD485C" w:rsidR="00E03602" w:rsidRDefault="00510F7A" w:rsidP="0012594D">
      <w:pPr>
        <w:shd w:val="clear" w:color="auto" w:fill="FFFFFF" w:themeFill="background1"/>
        <w:autoSpaceDE w:val="0"/>
        <w:autoSpaceDN w:val="0"/>
        <w:adjustRightInd w:val="0"/>
        <w:jc w:val="both"/>
        <w:rPr>
          <w:bCs/>
          <w:lang w:val="vi"/>
        </w:rPr>
      </w:pPr>
      <w:r>
        <w:rPr>
          <w:b/>
          <w:bCs/>
          <w:lang w:val="vi-VN"/>
        </w:rPr>
        <w:tab/>
      </w:r>
      <w:r w:rsidRPr="00510F7A">
        <w:t>Qua tổng kết, một số vấn đề mới phát sinh trong thực t</w:t>
      </w:r>
      <w:r w:rsidR="00B80534">
        <w:t xml:space="preserve">iễn cần được tiếp tục </w:t>
      </w:r>
      <w:r w:rsidRPr="00510F7A">
        <w:t>nghiên cứu trong quá trình hoàn thiện pháp luật về dược, cụ thể:</w:t>
      </w:r>
    </w:p>
    <w:p w14:paraId="397BB558" w14:textId="05FD0808" w:rsidR="00510F7A" w:rsidRPr="00510F7A" w:rsidRDefault="00E03602" w:rsidP="0012594D">
      <w:pPr>
        <w:shd w:val="clear" w:color="auto" w:fill="FFFFFF" w:themeFill="background1"/>
        <w:autoSpaceDE w:val="0"/>
        <w:autoSpaceDN w:val="0"/>
        <w:adjustRightInd w:val="0"/>
        <w:jc w:val="both"/>
        <w:rPr>
          <w:bCs/>
          <w:lang w:val="vi"/>
        </w:rPr>
      </w:pPr>
      <w:r>
        <w:rPr>
          <w:bCs/>
          <w:lang w:val="vi"/>
        </w:rPr>
        <w:tab/>
      </w:r>
      <w:r w:rsidR="00510F7A" w:rsidRPr="00510F7A">
        <w:t>(1) Hoạt động kinh doanh dược theo phương thức thương mại điện tử phát triển nhanh; Luật Thương mại điện tử năm 2025 được ban hành với các khái niệm, loại hình nền tảng thương mại điện tử mới thay thế khung pháp lý trước đây (Nghị định số 52/2013/NĐ-CP, Nghị định số 85/2021/NĐ-CP), đặt ra yêu cầu rà soát, bảo đảm thống nhất về thuật ngữ, loại hình và điều kiện kinh doanh dược theo phương thức thương mại điện tử.</w:t>
      </w:r>
    </w:p>
    <w:p w14:paraId="59E8BA06" w14:textId="77777777" w:rsidR="00510F7A" w:rsidRPr="00510F7A" w:rsidRDefault="00510F7A" w:rsidP="0012594D">
      <w:pPr>
        <w:shd w:val="clear" w:color="auto" w:fill="FFFFFF" w:themeFill="background1"/>
        <w:autoSpaceDE w:val="0"/>
        <w:autoSpaceDN w:val="0"/>
        <w:adjustRightInd w:val="0"/>
        <w:jc w:val="both"/>
        <w:rPr>
          <w:bCs/>
          <w:lang w:val="vi"/>
        </w:rPr>
      </w:pPr>
      <w:r w:rsidRPr="00510F7A">
        <w:tab/>
        <w:t>(2) Nhu cầu cấp Giấy chứng nhận sản phẩm dược (CPP) đối với thuốc sản xuất tại Việt Nam chưa có giấy đăng ký lưu hành cùng với định hướng đẩy mạnh xuất khẩu thuốc, đòi hỏi bổ sung căn cứ pháp lý để cấp CPP với các thuốc này (nêu tại điểm 3.3 Mục này).</w:t>
      </w:r>
    </w:p>
    <w:p w14:paraId="1F36D965" w14:textId="56EA3C00" w:rsidR="003463D4" w:rsidRPr="006A1108" w:rsidRDefault="00510F7A" w:rsidP="0012594D">
      <w:pPr>
        <w:shd w:val="clear" w:color="auto" w:fill="FFFFFF" w:themeFill="background1"/>
        <w:autoSpaceDE w:val="0"/>
        <w:autoSpaceDN w:val="0"/>
        <w:adjustRightInd w:val="0"/>
        <w:jc w:val="both"/>
        <w:rPr>
          <w:bCs/>
          <w:lang w:val="vi"/>
        </w:rPr>
      </w:pPr>
      <w:r w:rsidRPr="00510F7A">
        <w:tab/>
        <w:t xml:space="preserve">(3) Việc mua sắm vắc xin, thuốc phục vụ các chương trình y tế của Nhà nước thông qua tổ chức quốc tế theo hình thức lựa chọn nhà thầu trong trường </w:t>
      </w:r>
      <w:r w:rsidRPr="00510F7A">
        <w:lastRenderedPageBreak/>
        <w:t>hợp đặc biệt phát sinh yêu cầu đặc thù về cơ sở cung cấp và cơ sở nhập khẩu thuốc (nêu tại các điểm 3.2, 3.5 Mục này).</w:t>
      </w:r>
    </w:p>
    <w:p w14:paraId="30FC12E8" w14:textId="7D5BE0BD" w:rsidR="00FF74EB" w:rsidRPr="003463D4" w:rsidRDefault="003463D4" w:rsidP="0012594D">
      <w:pPr>
        <w:shd w:val="clear" w:color="auto" w:fill="FFFFFF" w:themeFill="background1"/>
        <w:autoSpaceDE w:val="0"/>
        <w:autoSpaceDN w:val="0"/>
        <w:adjustRightInd w:val="0"/>
        <w:jc w:val="both"/>
        <w:rPr>
          <w:bCs/>
        </w:rPr>
      </w:pPr>
      <w:r>
        <w:rPr>
          <w:bCs/>
        </w:rPr>
        <w:tab/>
      </w:r>
      <w:r w:rsidR="00BE74D9" w:rsidRPr="005B48D9">
        <w:rPr>
          <w:b/>
          <w:bCs/>
          <w:lang w:val="en"/>
        </w:rPr>
        <w:t>III. Đ</w:t>
      </w:r>
      <w:r w:rsidR="00BE74D9" w:rsidRPr="005B48D9">
        <w:rPr>
          <w:b/>
          <w:bCs/>
          <w:lang w:val="vi-VN"/>
        </w:rPr>
        <w:t>Ề XUẤT, KIẾN NGHỊ</w:t>
      </w:r>
      <w:r w:rsidR="005E0919">
        <w:rPr>
          <w:b/>
          <w:bCs/>
        </w:rPr>
        <w:t xml:space="preserve">: </w:t>
      </w:r>
    </w:p>
    <w:p w14:paraId="1D4C4848" w14:textId="34753DF5" w:rsidR="005E2EAE" w:rsidRPr="005E2EAE" w:rsidRDefault="0097231D" w:rsidP="0012594D">
      <w:pPr>
        <w:shd w:val="clear" w:color="auto" w:fill="FFFFFF" w:themeFill="background1"/>
        <w:autoSpaceDE w:val="0"/>
        <w:autoSpaceDN w:val="0"/>
        <w:adjustRightInd w:val="0"/>
        <w:jc w:val="both"/>
        <w:rPr>
          <w:b/>
          <w:bCs/>
        </w:rPr>
      </w:pPr>
      <w:r>
        <w:rPr>
          <w:bCs/>
        </w:rPr>
        <w:tab/>
      </w:r>
      <w:r w:rsidR="00A53DAA">
        <w:rPr>
          <w:b/>
          <w:bCs/>
        </w:rPr>
        <w:t>1</w:t>
      </w:r>
      <w:r w:rsidR="005E2EAE" w:rsidRPr="005E2EAE">
        <w:rPr>
          <w:b/>
          <w:bCs/>
        </w:rPr>
        <w:t>. Đơn giản hóa thủ tục hành chính dựa trên dữ liệu theo Nghị quyết số 66.7/2025/NQ-CP:</w:t>
      </w:r>
    </w:p>
    <w:p w14:paraId="127DA88F" w14:textId="77777777" w:rsidR="005E2EAE" w:rsidRPr="005E2EAE" w:rsidRDefault="005E2EAE" w:rsidP="0012594D">
      <w:pPr>
        <w:shd w:val="clear" w:color="auto" w:fill="FFFFFF" w:themeFill="background1"/>
        <w:autoSpaceDE w:val="0"/>
        <w:autoSpaceDN w:val="0"/>
        <w:adjustRightInd w:val="0"/>
        <w:jc w:val="both"/>
        <w:rPr>
          <w:bCs/>
          <w:lang w:val="vi"/>
        </w:rPr>
      </w:pPr>
      <w:r w:rsidRPr="005E2EAE">
        <w:rPr>
          <w:bCs/>
        </w:rPr>
        <w:tab/>
        <w:t>Sửa đổi, bổ sung thống nhất các Điều 2, 3, 4, 46, 83, 90, 106, 107 và Mẫu số 10, 11, 12 tại Phụ lục I theo hướng miễn nộp giấy tờ đã được cấp trực tuyến hoặc có thông tin, dữ liệu cập nhật và được chia sẻ hợp lệ cho cơ quan giải quyết; bổ sung thông tin định danh doanh nghiệp, địa điểm kinh doanh cần thiết để khai thác, đối chiếu dữ liệu. Quy định điều kiện áp dụng, trách nhiệm xác minh và phương án xử lý khi dữ liệu chưa được kết nối, chia sẻ, không phát sinh thêm thủ tục hành chính.</w:t>
      </w:r>
    </w:p>
    <w:p w14:paraId="79B8247A" w14:textId="158DE8B5" w:rsidR="005E2EAE" w:rsidRPr="005E2EAE" w:rsidRDefault="00A53DAA" w:rsidP="0012594D">
      <w:pPr>
        <w:shd w:val="clear" w:color="auto" w:fill="FFFFFF" w:themeFill="background1"/>
        <w:autoSpaceDE w:val="0"/>
        <w:autoSpaceDN w:val="0"/>
        <w:adjustRightInd w:val="0"/>
        <w:jc w:val="both"/>
        <w:rPr>
          <w:b/>
          <w:bCs/>
        </w:rPr>
      </w:pPr>
      <w:r>
        <w:rPr>
          <w:b/>
          <w:bCs/>
        </w:rPr>
        <w:tab/>
        <w:t>2</w:t>
      </w:r>
      <w:r w:rsidR="005E2EAE" w:rsidRPr="005E2EAE">
        <w:rPr>
          <w:b/>
          <w:bCs/>
        </w:rPr>
        <w:t>. Thực hiện phương án cắt giảm, đơn giản hóa theo Nghị quyết số 66.16/2026/NQ-CP:</w:t>
      </w:r>
    </w:p>
    <w:p w14:paraId="3062D0C2" w14:textId="334ECD6D" w:rsidR="005E2EAE" w:rsidRDefault="005E2EAE" w:rsidP="0012594D">
      <w:pPr>
        <w:shd w:val="clear" w:color="auto" w:fill="FFFFFF" w:themeFill="background1"/>
        <w:autoSpaceDE w:val="0"/>
        <w:autoSpaceDN w:val="0"/>
        <w:adjustRightInd w:val="0"/>
        <w:jc w:val="both"/>
        <w:rPr>
          <w:bCs/>
          <w:lang w:val="vi"/>
        </w:rPr>
      </w:pPr>
      <w:r w:rsidRPr="005E2EAE">
        <w:rPr>
          <w:bCs/>
        </w:rPr>
        <w:tab/>
        <w:t>Rà soát, sửa đổi khoản 3 Điều 26 để xử lý điều kiện hạn dùng tối thiểu 06 tháng đối với thuốc bán lẻ lưu động; sửa đổi Điều 33 đối với các yêu cầu giao, nhận, vận chuyển thuốc phóng xạ thuộc phạm vi phương án cắt giảm đã được xác định. Đồng thời bảo đảm yêu cầu quản lý chất lượng thuốc, bảo quản, an toàn bức xạ theo quy định pháp luật chuyên ngành. Cần thể hiện rõ nội dung cắt giảm trong câu chữ dự thảo trước khi trình.</w:t>
      </w:r>
    </w:p>
    <w:p w14:paraId="3CC8B1EF" w14:textId="2D9D750F" w:rsidR="005E2EAE" w:rsidRPr="005E2EAE" w:rsidRDefault="005E2EAE" w:rsidP="0012594D">
      <w:pPr>
        <w:shd w:val="clear" w:color="auto" w:fill="FFFFFF" w:themeFill="background1"/>
        <w:autoSpaceDE w:val="0"/>
        <w:autoSpaceDN w:val="0"/>
        <w:adjustRightInd w:val="0"/>
        <w:jc w:val="both"/>
        <w:rPr>
          <w:b/>
          <w:bCs/>
          <w:lang w:val="vi"/>
        </w:rPr>
      </w:pPr>
      <w:r>
        <w:rPr>
          <w:bCs/>
          <w:lang w:val="vi"/>
        </w:rPr>
        <w:tab/>
      </w:r>
      <w:r w:rsidR="00A53DAA">
        <w:rPr>
          <w:b/>
          <w:bCs/>
        </w:rPr>
        <w:t>3</w:t>
      </w:r>
      <w:r w:rsidRPr="005E2EAE">
        <w:rPr>
          <w:b/>
          <w:bCs/>
        </w:rPr>
        <w:t>. Rà soát, sửa đổi các quy định phân cấp:</w:t>
      </w:r>
    </w:p>
    <w:p w14:paraId="712B8BA9" w14:textId="17011AA9" w:rsidR="005E2EAE" w:rsidRPr="005E2EAE" w:rsidRDefault="005E2EAE" w:rsidP="0012594D">
      <w:pPr>
        <w:shd w:val="clear" w:color="auto" w:fill="FFFFFF" w:themeFill="background1"/>
        <w:autoSpaceDE w:val="0"/>
        <w:autoSpaceDN w:val="0"/>
        <w:adjustRightInd w:val="0"/>
        <w:jc w:val="both"/>
        <w:rPr>
          <w:bCs/>
          <w:lang w:val="vi"/>
        </w:rPr>
      </w:pPr>
      <w:r w:rsidRPr="005E2EAE">
        <w:rPr>
          <w:bCs/>
        </w:rPr>
        <w:tab/>
        <w:t xml:space="preserve">Rà soát các quy định tại Điều 106, 107, 108 và 110 về thẩm quyền tiếp nhận, thẩm định, cấp giấy xác nhận nội dung quảng cáo thuốc; bảo đảm giấy xác nhận đã cấp có giá trị sử dụng trong phạm vi cả nước và đồng bộ các biểu mẫu số 03, 04, 06 tại Phụ lục VI. Việc phân cấp cho Ủy ban nhân dân cấp tỉnh chỉ thực hiện khi có căn cứ pháp lý ở cấp luật và bảo đảm phù hợp phương án phân cấp tại Quyết định số 1015/QĐ-TTg. </w:t>
      </w:r>
    </w:p>
    <w:p w14:paraId="1557DF4B" w14:textId="0796D118" w:rsidR="00CF47F1" w:rsidRPr="00725A41" w:rsidRDefault="005E2EAE" w:rsidP="0012594D">
      <w:pPr>
        <w:shd w:val="clear" w:color="auto" w:fill="FFFFFF" w:themeFill="background1"/>
        <w:autoSpaceDE w:val="0"/>
        <w:autoSpaceDN w:val="0"/>
        <w:adjustRightInd w:val="0"/>
        <w:jc w:val="both"/>
        <w:rPr>
          <w:b/>
          <w:bCs/>
        </w:rPr>
      </w:pPr>
      <w:r>
        <w:rPr>
          <w:bCs/>
        </w:rPr>
        <w:tab/>
      </w:r>
      <w:r w:rsidR="00A53DAA">
        <w:rPr>
          <w:b/>
          <w:bCs/>
        </w:rPr>
        <w:t>4</w:t>
      </w:r>
      <w:r w:rsidR="00CF47F1" w:rsidRPr="00725A41">
        <w:rPr>
          <w:b/>
          <w:bCs/>
        </w:rPr>
        <w:t xml:space="preserve">. Đối với việc đánh giá đáp ứng GMP của cơ sở sản xuất thuốc, nguyên liệu làm thuốc nước ngoài khi đăng ký lưu hành thuốc, nguyên liệu làm thuốc tại Việt Nam như sau: </w:t>
      </w:r>
    </w:p>
    <w:p w14:paraId="671DEE53" w14:textId="15DFBD48" w:rsidR="00CF47F1" w:rsidRPr="005B48D9" w:rsidRDefault="00A53DAA" w:rsidP="0012594D">
      <w:pPr>
        <w:shd w:val="clear" w:color="auto" w:fill="FFFFFF" w:themeFill="background1"/>
        <w:autoSpaceDE w:val="0"/>
        <w:autoSpaceDN w:val="0"/>
        <w:adjustRightInd w:val="0"/>
        <w:jc w:val="both"/>
        <w:rPr>
          <w:bCs/>
        </w:rPr>
      </w:pPr>
      <w:r>
        <w:tab/>
        <w:t>4</w:t>
      </w:r>
      <w:r w:rsidR="0097231D">
        <w:t>.1. Sửa đổi điểm b và điểm d khoản 1 Điều 96 theo hướng giải quyết trường hợp cơ quan quản lý dược nước ngoài đánh giá từ xa (remote assessment) nhưng không cấp báo cáo kiểm tra GMP; khi đó cho phép cơ sở cung cấp báo cáo kiểm tra GMP của đợt gần nhất do cơ quan quản lý dược chặt chẽ (SRA), cơ quan quản lý dược được Bộ Y tế công nhận trên cơ sở phân loại của Tổ chức Y tế thế giới hoặc Tổ chức Y tế thế giới thực hiện trong chương trình Tiền đánh giá (Prequalification). Cụ thể:</w:t>
      </w:r>
    </w:p>
    <w:p w14:paraId="024CDB32" w14:textId="4198D5BB" w:rsidR="00CF47F1" w:rsidRPr="00F24FED" w:rsidRDefault="0097231D" w:rsidP="0012594D">
      <w:pPr>
        <w:shd w:val="clear" w:color="auto" w:fill="FFFFFF" w:themeFill="background1"/>
        <w:autoSpaceDE w:val="0"/>
        <w:autoSpaceDN w:val="0"/>
        <w:adjustRightInd w:val="0"/>
        <w:jc w:val="both"/>
        <w:rPr>
          <w:bCs/>
        </w:rPr>
      </w:pPr>
      <w:r w:rsidRPr="00F24FED">
        <w:rPr>
          <w:bCs/>
        </w:rPr>
        <w:tab/>
      </w:r>
      <w:r w:rsidR="00CF47F1" w:rsidRPr="00F24FED">
        <w:rPr>
          <w:bCs/>
        </w:rPr>
        <w:t xml:space="preserve">Điểm b khoản 1 Điều 96: </w:t>
      </w:r>
    </w:p>
    <w:p w14:paraId="5981B600" w14:textId="6C8FD40F" w:rsidR="00CF47F1" w:rsidRPr="005B48D9" w:rsidRDefault="0097231D" w:rsidP="0012594D">
      <w:pPr>
        <w:shd w:val="clear" w:color="auto" w:fill="FFFFFF" w:themeFill="background1"/>
        <w:autoSpaceDE w:val="0"/>
        <w:autoSpaceDN w:val="0"/>
        <w:adjustRightInd w:val="0"/>
        <w:jc w:val="both"/>
        <w:rPr>
          <w:bCs/>
          <w:i/>
        </w:rPr>
      </w:pPr>
      <w:r>
        <w:tab/>
        <w:t xml:space="preserve">b) Giấy chứng nhận Thực hành tốt sản xuất hoặc giấy phép sản xuất và báo cáo kiểm tra Thực hành tốt sản xuất của đợt kiểm tra gần nhất đối với cơ sở sản xuất thuốc, nguyên liệu làm thuốc đã được đánh giá theo quy định tại Điều 93 của Nghị định này. Trường hợp cơ quan quản lý có thẩm quyền áp dụng hình thức đánh giá từ xa (remote assessment) và không cấp báo cáo kiểm tra Thực </w:t>
      </w:r>
      <w:r>
        <w:lastRenderedPageBreak/>
        <w:t>hành tốt sản xuất thì cơ sở cung cấp báo cáo kiểm tra Thực hành tốt sản xuất của đợt kiểm tra gần nhất do cơ quan quản lý dược chặt chẽ (SRA), cơ quan quản lý dược được Bộ Y tế công nhận trên cơ sở phân loại của Tổ chức Y tế thế giới hoặc Tổ chức Y tế thế giới thực hiện theo chương trình Tiền đánh giá (Prequalification).</w:t>
      </w:r>
    </w:p>
    <w:p w14:paraId="2B5E2EC4" w14:textId="77777777" w:rsidR="00DD0270" w:rsidRPr="00F24FED" w:rsidRDefault="00AC1E0E" w:rsidP="0012594D">
      <w:pPr>
        <w:shd w:val="clear" w:color="auto" w:fill="FFFFFF" w:themeFill="background1"/>
        <w:autoSpaceDE w:val="0"/>
        <w:autoSpaceDN w:val="0"/>
        <w:adjustRightInd w:val="0"/>
        <w:jc w:val="both"/>
        <w:rPr>
          <w:bCs/>
        </w:rPr>
      </w:pPr>
      <w:r>
        <w:rPr>
          <w:bCs/>
          <w:i/>
        </w:rPr>
        <w:tab/>
      </w:r>
      <w:r w:rsidR="00CF47F1" w:rsidRPr="00F24FED">
        <w:rPr>
          <w:bCs/>
        </w:rPr>
        <w:t>Điểm d khoản 1 Điều 96:</w:t>
      </w:r>
      <w:r w:rsidR="00DD0270" w:rsidRPr="00F24FED">
        <w:rPr>
          <w:bCs/>
        </w:rPr>
        <w:t xml:space="preserve"> </w:t>
      </w:r>
    </w:p>
    <w:p w14:paraId="2B3B3C2B" w14:textId="7AE133CD" w:rsidR="00CF47F1" w:rsidRPr="005B48D9" w:rsidRDefault="00DD0270" w:rsidP="0012594D">
      <w:pPr>
        <w:shd w:val="clear" w:color="auto" w:fill="FFFFFF" w:themeFill="background1"/>
        <w:autoSpaceDE w:val="0"/>
        <w:autoSpaceDN w:val="0"/>
        <w:adjustRightInd w:val="0"/>
        <w:jc w:val="both"/>
        <w:rPr>
          <w:bCs/>
          <w:i/>
        </w:rPr>
      </w:pPr>
      <w:r>
        <w:tab/>
        <w:t>d) Giấy chứng nhận Thực hành tốt sản xuất hoặc giấy phép sản xuất và báo cáo kiểm tra Thực hành tốt sản xuất của đợt kiểm tra gần nhất đối với cơ sở sản xuất thuốc, nguyên liệu làm thuốc đã được đánh giá theo quy định tại Điều 95 của Nghị định này. Trường hợp cơ quan quản lý có thẩm quyền áp dụng hình thức đánh giá từ xa (remote assessment) và không cấp báo cáo kiểm tra Thực hành tốt sản xuất thì cơ sở cung cấp báo cáo kiểm tra Thực hành tốt sản xuất của đợt kiểm tra gần nhất do cơ quan quản lý dược chặt chẽ (SRA), cơ quan quản lý dược được Bộ Y tế công nhận trên cơ sở phân loại của Tổ chức Y tế thế giới hoặc Tổ chức Y tế thế giới thực hiện theo chương trình Tiền đánh giá (Prequalification).</w:t>
      </w:r>
    </w:p>
    <w:p w14:paraId="1A801A4F" w14:textId="4F1C3341" w:rsidR="00CF47F1" w:rsidRPr="005B48D9" w:rsidRDefault="00A53DAA" w:rsidP="0012594D">
      <w:pPr>
        <w:shd w:val="clear" w:color="auto" w:fill="FFFFFF" w:themeFill="background1"/>
        <w:autoSpaceDE w:val="0"/>
        <w:autoSpaceDN w:val="0"/>
        <w:adjustRightInd w:val="0"/>
        <w:jc w:val="both"/>
        <w:rPr>
          <w:bCs/>
        </w:rPr>
      </w:pPr>
      <w:r>
        <w:tab/>
        <w:t>4</w:t>
      </w:r>
      <w:r w:rsidR="0097231D">
        <w:t>.2. Sửa đổi điểm đ khoản 1 Điều 96 theo hướng yêu cầu Hồ sơ tổng thể cơ sở sản xuất cập nhật khi các cơ sở đánh giá theo Điều 93 hoặc Điều 95 có thay đổi về nhà xưởng, dây chuyền sản xuất; bảo đảm thống nhất với cơ chế công nhận, thừa nhận tại Điều 94. Cụ thể:</w:t>
      </w:r>
    </w:p>
    <w:p w14:paraId="3F7E16A0" w14:textId="77777777" w:rsidR="00CF47F1" w:rsidRPr="005B48D9" w:rsidRDefault="00CF47F1" w:rsidP="0012594D">
      <w:pPr>
        <w:shd w:val="clear" w:color="auto" w:fill="FFFFFF" w:themeFill="background1"/>
        <w:autoSpaceDE w:val="0"/>
        <w:autoSpaceDN w:val="0"/>
        <w:adjustRightInd w:val="0"/>
        <w:jc w:val="both"/>
        <w:rPr>
          <w:bCs/>
          <w:i/>
        </w:rPr>
      </w:pPr>
      <w:r>
        <w:tab/>
        <w:t>đ) Hồ sơ tổng thể cơ sở sản xuất cập nhật trong trường hợp cơ sở sản xuất đã được đánh giá theo quy định tại Điều 93 hoặc Điều 95 của Nghị định này có sự thay đổi về mặt bằng nhà xưởng, dây chuyền sản xuất thuốc, nguyên liệu làm thuốc đã được đánh giá đáp ứng Thực hành tốt sản xuất theo quy định của Bộ Y tế.</w:t>
      </w:r>
    </w:p>
    <w:p w14:paraId="792A73C7" w14:textId="486E3AFA" w:rsidR="00284D86" w:rsidRPr="00DD0270" w:rsidRDefault="00A53DAA" w:rsidP="0012594D">
      <w:pPr>
        <w:shd w:val="clear" w:color="auto" w:fill="FFFFFF" w:themeFill="background1"/>
        <w:autoSpaceDE w:val="0"/>
        <w:autoSpaceDN w:val="0"/>
        <w:adjustRightInd w:val="0"/>
        <w:jc w:val="both"/>
        <w:rPr>
          <w:bCs/>
        </w:rPr>
      </w:pPr>
      <w:r>
        <w:tab/>
        <w:t>4</w:t>
      </w:r>
      <w:r w:rsidR="00CF47F1">
        <w:t>.3. Tách điểm c khoản 5 Điều 96 thành khoản 6 độc lập về trách nhiệm đối với thông tin và kết quả tự tra cứu: “6. Cơ sở đăng ký, cơ sở sản xuất phải chịu trách nhiệm toàn diện trước pháp luật về tính hợp pháp, tính chính xác của các giấy tờ, thông tin này và kết quả tự tra cứu của cơ sở được nêu tại khoản 5 Điều này. Cơ quan, tổ chức sử dụng thông tin kiểm tra hoặc tra cứu thực hiện việc tra cứu, xác minh thông tin theo đường dẫn do cơ sở đăng ký, cơ sở sản xuất thuốc, nguyên liệu làm thuốc cung cấp.”</w:t>
      </w:r>
    </w:p>
    <w:p w14:paraId="41E2B017" w14:textId="77777777" w:rsidR="001D77AA" w:rsidRPr="001D77AA" w:rsidRDefault="001D77AA" w:rsidP="0012594D">
      <w:pPr>
        <w:shd w:val="clear" w:color="auto" w:fill="FFFFFF" w:themeFill="background1"/>
        <w:autoSpaceDE w:val="0"/>
        <w:autoSpaceDN w:val="0"/>
        <w:adjustRightInd w:val="0"/>
        <w:jc w:val="both"/>
        <w:rPr>
          <w:bCs/>
          <w:lang w:val="vi"/>
        </w:rPr>
      </w:pPr>
      <w:r>
        <w:tab/>
        <w:t>Bảo đảm việc sửa điểm b, d, đ khoản 1 và tách điểm c khoản 5 Điều 96 thành khoản 6 phù hợp nội dung về hồ sơ đánh giá duy trì đáp ứng GMP, rõ trách nhiệm của cơ sở đăng ký, cơ sở sản xuất trong việc cung cấp và tự tra cứu thông tin; việc sử dụng kết quả tự tra cứu không thay thế yêu cầu đánh giá, xác minh theo quy định.</w:t>
      </w:r>
    </w:p>
    <w:p w14:paraId="4BB6E101" w14:textId="7968A20A" w:rsidR="001D77AA" w:rsidRPr="005D1394" w:rsidRDefault="00A53DAA" w:rsidP="0012594D">
      <w:pPr>
        <w:shd w:val="clear" w:color="auto" w:fill="FFFFFF" w:themeFill="background1"/>
        <w:autoSpaceDE w:val="0"/>
        <w:autoSpaceDN w:val="0"/>
        <w:adjustRightInd w:val="0"/>
        <w:jc w:val="both"/>
        <w:rPr>
          <w:b/>
          <w:bCs/>
          <w:lang w:val="vi"/>
        </w:rPr>
      </w:pPr>
      <w:r>
        <w:rPr>
          <w:b/>
        </w:rPr>
        <w:tab/>
        <w:t>5</w:t>
      </w:r>
      <w:r w:rsidR="00E32E8B">
        <w:rPr>
          <w:b/>
        </w:rPr>
        <w:t>. Làm rõ phạm vi điều chỉnh đối với nguyên liệu làm thuốc để sản xuất bán thành phẩm thuốc xuất khẩu tại Điều 70:</w:t>
      </w:r>
    </w:p>
    <w:p w14:paraId="27BBF849" w14:textId="77777777" w:rsidR="008359CC" w:rsidRDefault="001D77AA" w:rsidP="0012594D">
      <w:pPr>
        <w:shd w:val="clear" w:color="auto" w:fill="FFFFFF" w:themeFill="background1"/>
        <w:autoSpaceDE w:val="0"/>
        <w:autoSpaceDN w:val="0"/>
        <w:adjustRightInd w:val="0"/>
        <w:jc w:val="both"/>
        <w:rPr>
          <w:bCs/>
          <w:lang w:val="vi"/>
        </w:rPr>
      </w:pPr>
      <w:r>
        <w:tab/>
        <w:t xml:space="preserve">Sửa đổi tên Điều 70 theo hướng bao quát việc nhập khẩu nguyên liệu làm thuốc để sản xuất thuốc xuất khẩu và bán thành phẩm thuốc xuất khẩu theo điểm b khoản 3 Điều 60 Luật Dược, đồng thời bảo đảm việc áp dụng các quy định hiện hành về hồ sơ, trình tự, thủ tục không tạo ra cách hiểu loại trừ trường hợp </w:t>
      </w:r>
      <w:r>
        <w:lastRenderedPageBreak/>
        <w:t>sản xuất bán thành phẩm thuốc xuất khẩu. Nội dung cụ thể cần thống nhất với dự thảo và quy định được Luật Dược giao Chính phủ hướng dẫn.</w:t>
      </w:r>
    </w:p>
    <w:p w14:paraId="308A3C32" w14:textId="03EFFC64" w:rsidR="001D77AA" w:rsidRPr="008359CC" w:rsidRDefault="008359CC" w:rsidP="0012594D">
      <w:pPr>
        <w:shd w:val="clear" w:color="auto" w:fill="FFFFFF" w:themeFill="background1"/>
        <w:autoSpaceDE w:val="0"/>
        <w:autoSpaceDN w:val="0"/>
        <w:adjustRightInd w:val="0"/>
        <w:jc w:val="both"/>
        <w:rPr>
          <w:bCs/>
          <w:lang w:val="vi"/>
        </w:rPr>
      </w:pPr>
      <w:r>
        <w:rPr>
          <w:bCs/>
          <w:lang w:val="vi"/>
        </w:rPr>
        <w:tab/>
      </w:r>
      <w:r w:rsidR="00A53DAA">
        <w:rPr>
          <w:b/>
          <w:bCs/>
        </w:rPr>
        <w:t>6</w:t>
      </w:r>
      <w:r w:rsidR="001D77AA" w:rsidRPr="005D1394">
        <w:rPr>
          <w:b/>
          <w:bCs/>
        </w:rPr>
        <w:t>. Sửa đổi, bổ sung quy định về cơ sở cung cấp thuốc, nguyên liệu làm thuốc tại Điều 78:</w:t>
      </w:r>
    </w:p>
    <w:p w14:paraId="42341BD6" w14:textId="6F9D046F" w:rsidR="001D77AA" w:rsidRPr="001D77AA" w:rsidRDefault="00D446B2" w:rsidP="0012594D">
      <w:pPr>
        <w:shd w:val="clear" w:color="auto" w:fill="FFFFFF" w:themeFill="background1"/>
        <w:autoSpaceDE w:val="0"/>
        <w:autoSpaceDN w:val="0"/>
        <w:adjustRightInd w:val="0"/>
        <w:jc w:val="both"/>
        <w:rPr>
          <w:bCs/>
          <w:lang w:val="vi"/>
        </w:rPr>
      </w:pPr>
      <w:r>
        <w:rPr>
          <w:bCs/>
        </w:rPr>
        <w:tab/>
      </w:r>
      <w:r w:rsidR="001D77AA" w:rsidRPr="001D77AA">
        <w:rPr>
          <w:bCs/>
        </w:rPr>
        <w:t>Sửa đổi cách viết tại điểm đ khoản 1 Điều 78 để làm rõ đây là nội dung quy định làm rõ hơn cho trường hợp cơ sở cung cấp quy định tại điểm c và điểm d khoản 1, không phải là một trường hợp cơ sở cung cấp độc lập; không làm thay đổi bản chất của quy định.</w:t>
      </w:r>
    </w:p>
    <w:p w14:paraId="641CBA21" w14:textId="63753EA6" w:rsidR="001D77AA" w:rsidRPr="001D77AA" w:rsidRDefault="00D446B2" w:rsidP="0012594D">
      <w:pPr>
        <w:shd w:val="clear" w:color="auto" w:fill="FFFFFF" w:themeFill="background1"/>
        <w:autoSpaceDE w:val="0"/>
        <w:autoSpaceDN w:val="0"/>
        <w:adjustRightInd w:val="0"/>
        <w:jc w:val="both"/>
        <w:rPr>
          <w:bCs/>
          <w:lang w:val="vi"/>
        </w:rPr>
      </w:pPr>
      <w:r>
        <w:rPr>
          <w:bCs/>
        </w:rPr>
        <w:tab/>
      </w:r>
      <w:r w:rsidR="001D77AA" w:rsidRPr="001D77AA">
        <w:rPr>
          <w:bCs/>
        </w:rPr>
        <w:t>Bổ sung tại khoản 2 Điều 78 trường hợp không phải thực hiện quy định về cơ sở cung cấp thuốc: thuốc để phục vụ cho chương trình y tế của Nhà nước khi cơ sở cung cấp thuốc đã được chỉ định trong quyết định của Bộ trưởng Bộ Y tế phê duyệt phương án lựa chọn nhà thầu đối với gói thầu được mua thông qua các tổ chức quốc tế áp dụng hình thức lựa chọn nhà thầu trong trường hợp đặc biệt theo quy định của pháp luật về đấu thầu; đồng thời bố cục lại các điểm tại khoản 2 để bảo đảm rõ nghĩa.</w:t>
      </w:r>
    </w:p>
    <w:p w14:paraId="6C240585" w14:textId="77777777" w:rsidR="001D77AA" w:rsidRPr="001D77AA" w:rsidRDefault="001D77AA" w:rsidP="0012594D">
      <w:pPr>
        <w:shd w:val="clear" w:color="auto" w:fill="FFFFFF" w:themeFill="background1"/>
        <w:autoSpaceDE w:val="0"/>
        <w:autoSpaceDN w:val="0"/>
        <w:adjustRightInd w:val="0"/>
        <w:jc w:val="both"/>
        <w:rPr>
          <w:bCs/>
          <w:lang w:val="vi"/>
        </w:rPr>
      </w:pPr>
      <w:r>
        <w:tab/>
        <w:t>Bổ sung, làm rõ trường hợp cơ sở cung cấp theo quy định tại khoản 5a Điều 60 Luật Dược trong các trường hợp miễn áp dụng điều kiện về cơ sở cung cấp tại Điều 78, nếu có đủ căn cứ theo văn bản luật đang được xem xét; bảo đảm sự thống nhất giữa quy định ở cấp luật và nghị định.</w:t>
      </w:r>
    </w:p>
    <w:p w14:paraId="3D1D7894" w14:textId="594B3865" w:rsidR="001D77AA" w:rsidRPr="005D1394" w:rsidRDefault="001D77AA" w:rsidP="0012594D">
      <w:pPr>
        <w:shd w:val="clear" w:color="auto" w:fill="FFFFFF" w:themeFill="background1"/>
        <w:autoSpaceDE w:val="0"/>
        <w:autoSpaceDN w:val="0"/>
        <w:adjustRightInd w:val="0"/>
        <w:jc w:val="both"/>
        <w:rPr>
          <w:b/>
          <w:bCs/>
          <w:lang w:val="vi"/>
        </w:rPr>
      </w:pPr>
      <w:r w:rsidRPr="001D77AA">
        <w:rPr>
          <w:bCs/>
        </w:rPr>
        <w:tab/>
      </w:r>
      <w:r w:rsidR="00A53DAA">
        <w:rPr>
          <w:b/>
          <w:bCs/>
        </w:rPr>
        <w:t>7</w:t>
      </w:r>
      <w:r w:rsidRPr="005D1394">
        <w:rPr>
          <w:b/>
          <w:bCs/>
        </w:rPr>
        <w:t>. Bổ sung quy định về công bố thông tin đối với cơ sở tổ chức chuỗi nhà thuốc tại khoản 9 Điều 21:</w:t>
      </w:r>
    </w:p>
    <w:p w14:paraId="2EA79185" w14:textId="77777777" w:rsidR="001D77AA" w:rsidRPr="001D77AA" w:rsidRDefault="001D77AA" w:rsidP="0012594D">
      <w:pPr>
        <w:shd w:val="clear" w:color="auto" w:fill="FFFFFF" w:themeFill="background1"/>
        <w:autoSpaceDE w:val="0"/>
        <w:autoSpaceDN w:val="0"/>
        <w:adjustRightInd w:val="0"/>
        <w:jc w:val="both"/>
        <w:rPr>
          <w:bCs/>
          <w:lang w:val="vi"/>
        </w:rPr>
      </w:pPr>
      <w:r w:rsidRPr="001D77AA">
        <w:rPr>
          <w:bCs/>
        </w:rPr>
        <w:tab/>
        <w:t>Bổ sung điểm đ khoản 9 Điều 21 quy định việc công bố danh sách nhà thuốc trong chuỗi nhà thuốc và thông tin về người chịu trách nhiệm chuyên môn về dược của từng nhà thuốc trong chuỗi sau khi cơ sở tổ chức chuỗi nhà thuốc được cấp Giấy chứng nhận đủ điều kiện kinh doanh dược và khi có thay đổi.</w:t>
      </w:r>
    </w:p>
    <w:p w14:paraId="3CF49DA7" w14:textId="77777777" w:rsidR="001D77AA" w:rsidRPr="001D77AA" w:rsidRDefault="001D77AA" w:rsidP="0012594D">
      <w:pPr>
        <w:shd w:val="clear" w:color="auto" w:fill="FFFFFF" w:themeFill="background1"/>
        <w:autoSpaceDE w:val="0"/>
        <w:autoSpaceDN w:val="0"/>
        <w:adjustRightInd w:val="0"/>
        <w:jc w:val="both"/>
        <w:rPr>
          <w:bCs/>
          <w:lang w:val="vi"/>
        </w:rPr>
      </w:pPr>
      <w:r>
        <w:tab/>
        <w:t>Đồng bộ cách thức cập nhật danh sách nhà thuốc thuộc chuỗi khi có thay đổi với thông tin quản lý tại Bộ Y tế và Sở Y tế nơi nhà thuốc hoạt động; rà soát phạm vi thông tin được công khai, bảo đảm đúng chức năng, thẩm quyền và bảo vệ dữ liệu cá nhân theo quy định.</w:t>
      </w:r>
    </w:p>
    <w:p w14:paraId="6D86674B" w14:textId="089091C8" w:rsidR="001D77AA" w:rsidRPr="005D1394" w:rsidRDefault="001D77AA" w:rsidP="0012594D">
      <w:pPr>
        <w:shd w:val="clear" w:color="auto" w:fill="FFFFFF" w:themeFill="background1"/>
        <w:autoSpaceDE w:val="0"/>
        <w:autoSpaceDN w:val="0"/>
        <w:adjustRightInd w:val="0"/>
        <w:jc w:val="both"/>
        <w:rPr>
          <w:b/>
          <w:bCs/>
          <w:lang w:val="vi"/>
        </w:rPr>
      </w:pPr>
      <w:r w:rsidRPr="001D77AA">
        <w:rPr>
          <w:bCs/>
        </w:rPr>
        <w:tab/>
      </w:r>
      <w:r w:rsidR="00A53DAA">
        <w:rPr>
          <w:b/>
          <w:bCs/>
        </w:rPr>
        <w:t>8</w:t>
      </w:r>
      <w:r w:rsidRPr="005D1394">
        <w:rPr>
          <w:b/>
          <w:bCs/>
        </w:rPr>
        <w:t>. Bổ sung quy định về nhập khẩu thuốc của cơ quan, tổ chức quy định tại Điều 35 Luật Dược tại khoản 11 Điều 82:</w:t>
      </w:r>
    </w:p>
    <w:p w14:paraId="0F50DD86" w14:textId="01018434" w:rsidR="001D77AA" w:rsidRPr="0048097C" w:rsidRDefault="001D77AA" w:rsidP="0012594D">
      <w:pPr>
        <w:shd w:val="clear" w:color="auto" w:fill="FFFFFF" w:themeFill="background1"/>
        <w:autoSpaceDE w:val="0"/>
        <w:autoSpaceDN w:val="0"/>
        <w:adjustRightInd w:val="0"/>
        <w:jc w:val="both"/>
        <w:rPr>
          <w:bCs/>
          <w:i/>
        </w:rPr>
      </w:pPr>
      <w:r>
        <w:tab/>
        <w:t xml:space="preserve">Bổ sung trường hợp cơ quan, tổ chức quy định tại Điều 35 Luật Dược (bao gồm cơ sở có hoạt động dược nhưng không vì mục đích thương mại) tuân thủ nguyên tắc, tiêu chuẩn Thực hành tốt bảo quản thuốc được phép nhập khẩu thuốc như sau: </w:t>
      </w:r>
      <w:r w:rsidRPr="00F24FED">
        <w:t>Nhập khẩu thuốc để phục vụ cho Chương trình y tế của Nhà nước khi cơ sở nhập khẩu đã được chỉ định trong quyết định của Bộ trưởng Bộ Y tế phê duyệt phương án lựa chọn nhà thầu đối với gói thầu được mua thông qua các Tổ chức quốc tế áp dụng hình thức lựa chọn nhà thầu trong trường hợp đặc biệt theo quy định của pháp luật về đấu thầu.</w:t>
      </w:r>
    </w:p>
    <w:p w14:paraId="06D10D18" w14:textId="7044FA91" w:rsidR="00BB2252" w:rsidRDefault="005D1394" w:rsidP="0012594D">
      <w:pPr>
        <w:shd w:val="clear" w:color="auto" w:fill="FFFFFF" w:themeFill="background1"/>
        <w:autoSpaceDE w:val="0"/>
        <w:autoSpaceDN w:val="0"/>
        <w:adjustRightInd w:val="0"/>
        <w:jc w:val="both"/>
        <w:rPr>
          <w:b/>
          <w:bCs/>
          <w:lang w:val="vi"/>
        </w:rPr>
      </w:pPr>
      <w:r>
        <w:rPr>
          <w:bCs/>
        </w:rPr>
        <w:tab/>
      </w:r>
      <w:r w:rsidR="00A53DAA">
        <w:rPr>
          <w:b/>
          <w:bCs/>
        </w:rPr>
        <w:t>9</w:t>
      </w:r>
      <w:r w:rsidR="001D77AA" w:rsidRPr="005D1394">
        <w:rPr>
          <w:b/>
          <w:bCs/>
        </w:rPr>
        <w:t>. Sửa đổi quy định về hủy thuốc phải kiểm soát đặc biệt tại khoản 6 Điều 36:</w:t>
      </w:r>
    </w:p>
    <w:p w14:paraId="1329AFBE" w14:textId="3F79FB89" w:rsidR="001D77AA" w:rsidRPr="00BB2252" w:rsidRDefault="00BB2252" w:rsidP="0012594D">
      <w:pPr>
        <w:shd w:val="clear" w:color="auto" w:fill="FFFFFF" w:themeFill="background1"/>
        <w:autoSpaceDE w:val="0"/>
        <w:autoSpaceDN w:val="0"/>
        <w:adjustRightInd w:val="0"/>
        <w:jc w:val="both"/>
        <w:rPr>
          <w:b/>
          <w:bCs/>
          <w:lang w:val="vi"/>
        </w:rPr>
      </w:pPr>
      <w:r>
        <w:rPr>
          <w:b/>
          <w:bCs/>
          <w:lang w:val="vi"/>
        </w:rPr>
        <w:lastRenderedPageBreak/>
        <w:tab/>
      </w:r>
      <w:r w:rsidR="001D77AA" w:rsidRPr="001D77AA">
        <w:rPr>
          <w:bCs/>
        </w:rPr>
        <w:t>Sửa đổi khoản 6 Điều 36 theo hướng quy định rõ trường hợp nào việc hủy thuốc gây nghiện, thuốc hướng thần, thuốc tiền chất dạng dung dịch chưa sử dụng hết đơn vị đóng gói nhỏ nhất.</w:t>
      </w:r>
    </w:p>
    <w:p w14:paraId="4147D2FB" w14:textId="3661CE13" w:rsidR="001D77AA" w:rsidRPr="005D1394" w:rsidRDefault="001D77AA" w:rsidP="0012594D">
      <w:pPr>
        <w:shd w:val="clear" w:color="auto" w:fill="FFFFFF" w:themeFill="background1"/>
        <w:autoSpaceDE w:val="0"/>
        <w:autoSpaceDN w:val="0"/>
        <w:adjustRightInd w:val="0"/>
        <w:jc w:val="both"/>
        <w:rPr>
          <w:b/>
          <w:bCs/>
          <w:lang w:val="vi"/>
        </w:rPr>
      </w:pPr>
      <w:r w:rsidRPr="001D77AA">
        <w:rPr>
          <w:bCs/>
        </w:rPr>
        <w:tab/>
      </w:r>
      <w:r w:rsidR="00A53DAA">
        <w:rPr>
          <w:b/>
          <w:bCs/>
        </w:rPr>
        <w:t>10</w:t>
      </w:r>
      <w:r w:rsidRPr="005D1394">
        <w:rPr>
          <w:b/>
          <w:bCs/>
        </w:rPr>
        <w:t>. Sửa đổi quy định về cấp phép nhập khẩu thuốc, nguyên liệu làm thuốc phải kiểm soát đặc biệt tại khoản 3 Điều 65 và điểm đ khoản 1 Điều 66:</w:t>
      </w:r>
    </w:p>
    <w:p w14:paraId="6A139EBE" w14:textId="6242EE9C" w:rsidR="00DF1975" w:rsidRPr="001D77AA" w:rsidRDefault="001D77AA" w:rsidP="0012594D">
      <w:pPr>
        <w:shd w:val="clear" w:color="auto" w:fill="FFFFFF" w:themeFill="background1"/>
        <w:autoSpaceDE w:val="0"/>
        <w:autoSpaceDN w:val="0"/>
        <w:adjustRightInd w:val="0"/>
        <w:jc w:val="both"/>
        <w:rPr>
          <w:bCs/>
          <w:lang w:val="vi"/>
        </w:rPr>
      </w:pPr>
      <w:r>
        <w:tab/>
        <w:t xml:space="preserve">Bỏ cụm từ “liền trước” trong cụm từ “kỳ báo cáo liền trước” tại khoản 3 Điều 65 và điểm đ khoản 1 Điều 66 để bảo đảm thống nhất với cách ghi tại điểm b khoản 1 Điều 38 Nghị định số 163/2025/NĐ-CP. Đồng thời, sửa dấu câu tại điểm e khoản 1 Điều 66 để phân định chính xác các trường hợp được miễn nộp tài liệu, bảo đảm cách hiểu thống nhất khi tiếp nhận, giải quyết hồ sơ. </w:t>
      </w:r>
    </w:p>
    <w:p w14:paraId="14E8C7BD" w14:textId="5F3AC668" w:rsidR="00725A41" w:rsidRPr="00725A41" w:rsidRDefault="00DF1975" w:rsidP="0012594D">
      <w:pPr>
        <w:shd w:val="clear" w:color="auto" w:fill="FFFFFF" w:themeFill="background1"/>
        <w:autoSpaceDE w:val="0"/>
        <w:autoSpaceDN w:val="0"/>
        <w:adjustRightInd w:val="0"/>
        <w:jc w:val="both"/>
        <w:rPr>
          <w:b/>
          <w:bCs/>
        </w:rPr>
      </w:pPr>
      <w:r>
        <w:rPr>
          <w:b/>
          <w:bCs/>
          <w:lang w:val="en"/>
        </w:rPr>
        <w:tab/>
      </w:r>
      <w:r w:rsidR="00A53DAA">
        <w:rPr>
          <w:b/>
          <w:bCs/>
        </w:rPr>
        <w:t>11</w:t>
      </w:r>
      <w:r w:rsidR="00725A41" w:rsidRPr="00725A41">
        <w:rPr>
          <w:b/>
          <w:bCs/>
        </w:rPr>
        <w:t>. Đối với thủ tục công bố, công bố lại giá bán buôn thuốc dự kiến:</w:t>
      </w:r>
    </w:p>
    <w:p w14:paraId="5BC4411D" w14:textId="5804664A" w:rsidR="004F0A17" w:rsidRPr="004F0A17" w:rsidRDefault="00725A41" w:rsidP="0012594D">
      <w:pPr>
        <w:shd w:val="clear" w:color="auto" w:fill="FFFFFF" w:themeFill="background1"/>
        <w:autoSpaceDE w:val="0"/>
        <w:autoSpaceDN w:val="0"/>
        <w:adjustRightInd w:val="0"/>
        <w:jc w:val="both"/>
        <w:rPr>
          <w:b/>
          <w:bCs/>
        </w:rPr>
      </w:pPr>
      <w:r>
        <w:tab/>
        <w:t>Sửa đổi Điều 114, bổ sung Điều 115a và sửa đổi Điều 119 phù hợp quy định của Luật Dược về công bố, công bố lại giá bán buôn thuốc dự kiến và xử lý kiến nghị về mức giá đã công bố; xác định rõ thời điểm công bố, trách nhiệm của các cơ sở trong chuỗi nhập khẩu, phân phối, việc công khai thông tin kịp thời và trách nhiệm báo cáo, giải trình.</w:t>
      </w:r>
    </w:p>
    <w:p w14:paraId="2C0FA4CB" w14:textId="1F057B95" w:rsidR="001D77AA" w:rsidRPr="005E2EAE" w:rsidRDefault="004F0A17" w:rsidP="0012594D">
      <w:pPr>
        <w:shd w:val="clear" w:color="auto" w:fill="FFFFFF" w:themeFill="background1"/>
        <w:autoSpaceDE w:val="0"/>
        <w:autoSpaceDN w:val="0"/>
        <w:adjustRightInd w:val="0"/>
        <w:jc w:val="both"/>
        <w:rPr>
          <w:rFonts w:eastAsia="Calibri"/>
          <w:color w:val="000000"/>
          <w:lang w:val="nl-NL"/>
        </w:rPr>
      </w:pPr>
      <w:r>
        <w:tab/>
        <w:t>Bổ sung cơ chế cho một số thuốc đặc thù được công bố giá bán buôn thuốc dự kiến sau khi bán lô đầu tiên, kèm thời hạn công bố và yêu cầu kiểm tra, giám sát; quy định trách nhiệm của doanh nghiệp chủ động rà soát mức giá đã công bố, của cơ sở ủy thác, nhận ủy thác nhập khẩu và cơ sở bán buôn liên quan. Hoàn thiện thời hạn báo cáo, giải trình, cơ chế phản hồi của cơ quan quản lý nhà nước, đồng thời chỉnh Mẫu số 01, 02 tại Phụ lục VII để thể hiện thông tin đơn vị ủy thác nhập khẩu, cơ sở phân phối và tài liệu giải trình trong trường hợp cần thiết.</w:t>
      </w:r>
    </w:p>
    <w:p w14:paraId="6F31C953" w14:textId="77777777" w:rsidR="00CF47F1" w:rsidRPr="00725A41" w:rsidRDefault="0097231D" w:rsidP="0012594D">
      <w:pPr>
        <w:keepNext/>
        <w:shd w:val="clear" w:color="auto" w:fill="FFFFFF" w:themeFill="background1"/>
        <w:autoSpaceDE w:val="0"/>
        <w:autoSpaceDN w:val="0"/>
        <w:adjustRightInd w:val="0"/>
        <w:jc w:val="both"/>
        <w:rPr>
          <w:b/>
          <w:bCs/>
        </w:rPr>
      </w:pPr>
      <w:r>
        <w:rPr>
          <w:b/>
        </w:rPr>
        <w:tab/>
        <w:t>12. Làm rõ quy định về mua, bán thuốc phải kiểm soát đặc biệt tại Điều 34:</w:t>
      </w:r>
    </w:p>
    <w:p w14:paraId="17704378" w14:textId="77777777" w:rsidR="003476AF" w:rsidRDefault="001D77AA" w:rsidP="0012594D">
      <w:pPr>
        <w:shd w:val="clear" w:color="auto" w:fill="FFFFFF" w:themeFill="background1"/>
        <w:autoSpaceDE w:val="0"/>
        <w:autoSpaceDN w:val="0"/>
        <w:adjustRightInd w:val="0"/>
        <w:jc w:val="both"/>
        <w:rPr>
          <w:bCs/>
          <w:lang w:val="vi"/>
        </w:rPr>
      </w:pPr>
      <w:r>
        <w:tab/>
        <w:t>Rà soát điểm a khoản 6 Điều 34 về trường hợp mua thuốc theo kết quả trúng thầu và cơ quan có thẩm quyền phê duyệt; bảo đảm cơ chế kiểm soát, thông tin về mua, bán thuốc phải kiểm soát đặc biệt tại địa phương nhưng không làm phát sinh chồng chéo giữa thủ tục mua sắm và phê duyệt Đơn hàng. Hoàn thiện cách thể hiện cơ quan có thẩm quyền tại dự thảo để tránh trùng lặp, thiếu rõ ràng.</w:t>
      </w:r>
    </w:p>
    <w:p w14:paraId="3CD65F73" w14:textId="492F4DAF" w:rsidR="00CF47F1" w:rsidRPr="003476AF" w:rsidRDefault="003476AF" w:rsidP="0012594D">
      <w:pPr>
        <w:shd w:val="clear" w:color="auto" w:fill="FFFFFF" w:themeFill="background1"/>
        <w:autoSpaceDE w:val="0"/>
        <w:autoSpaceDN w:val="0"/>
        <w:adjustRightInd w:val="0"/>
        <w:jc w:val="both"/>
        <w:rPr>
          <w:bCs/>
          <w:lang w:val="vi"/>
        </w:rPr>
      </w:pPr>
      <w:r>
        <w:rPr>
          <w:bCs/>
          <w:lang w:val="vi"/>
        </w:rPr>
        <w:tab/>
      </w:r>
      <w:r w:rsidR="0097231D">
        <w:rPr>
          <w:b/>
        </w:rPr>
        <w:t>13. Bổ sung cơ chế điều chuyển thuốc trong nội bộ cơ sở khám bệnh, chữa bệnh tại Điều 85:</w:t>
      </w:r>
    </w:p>
    <w:p w14:paraId="571D1A8A" w14:textId="77777777" w:rsidR="00FC3FF3" w:rsidRDefault="001D77AA" w:rsidP="0012594D">
      <w:pPr>
        <w:shd w:val="clear" w:color="auto" w:fill="FFFFFF" w:themeFill="background1"/>
        <w:autoSpaceDE w:val="0"/>
        <w:autoSpaceDN w:val="0"/>
        <w:adjustRightInd w:val="0"/>
        <w:jc w:val="both"/>
        <w:rPr>
          <w:iCs/>
        </w:rPr>
      </w:pPr>
      <w:r>
        <w:tab/>
        <w:t xml:space="preserve">Bổ sung điểm d khoản 1 Điều 85 đối với thuốc nhập khẩu theo điểm c khoản 1 Điều 54 </w:t>
      </w:r>
      <w:r w:rsidR="00D27274">
        <w:t xml:space="preserve">Nghị định này </w:t>
      </w:r>
      <w:r w:rsidR="00D27274" w:rsidRPr="00D27274">
        <w:rPr>
          <w:bCs/>
          <w:iCs/>
        </w:rPr>
        <w:t xml:space="preserve">trong trường hợp điều chuyển nội bộ cơ sở khám chữa bệnh </w:t>
      </w:r>
      <w:r w:rsidR="00D27274" w:rsidRPr="00D27274">
        <w:t xml:space="preserve">nhằm hạn chế tình trạng khan hiếm thuốc cục bộ, tạo điều kiện cho các cơ sở khám chữa bệnh được linh hoạt trong </w:t>
      </w:r>
      <w:r w:rsidR="00D27274">
        <w:t xml:space="preserve">sử dụng thuốc tại chính cơ sở như sau: </w:t>
      </w:r>
    </w:p>
    <w:p w14:paraId="2010F99F" w14:textId="77777777" w:rsidR="00FC3FF3" w:rsidRDefault="00FC3FF3" w:rsidP="0012594D">
      <w:pPr>
        <w:shd w:val="clear" w:color="auto" w:fill="FFFFFF" w:themeFill="background1"/>
        <w:autoSpaceDE w:val="0"/>
        <w:autoSpaceDN w:val="0"/>
        <w:adjustRightInd w:val="0"/>
        <w:jc w:val="both"/>
        <w:rPr>
          <w:bCs/>
          <w:iCs/>
        </w:rPr>
      </w:pPr>
      <w:r>
        <w:rPr>
          <w:iCs/>
        </w:rPr>
        <w:tab/>
      </w:r>
      <w:r w:rsidR="00D27274" w:rsidRPr="00FC3FF3">
        <w:t xml:space="preserve">d) Trường hợp sử dụng thuốc được nhập khẩu theo quy định tại điểm c khoản 1 Điều 54 Nghị định này, cơ sở khám bệnh, chữa bệnh được điều chuyển để sử dụng cho người bệnh cụ thể khác đang điều trị tại chính cơ sở trong trường </w:t>
      </w:r>
      <w:r w:rsidR="00D27274" w:rsidRPr="00FC3FF3">
        <w:lastRenderedPageBreak/>
        <w:t>hợp người bệnh cụ thể nêu tại hồ sơ đề nghị cấp phép nhập khẩu thuốc không còn điều trị tại cơ sở đó. Việc điều chuyển trong nội bộ cơ sở chỉ được thực hiện trên cơ sở ý kiến thống nhất của Hội đồng thuốc và điều trị của cơ sở nêu tại Biên bản họp, phù hợp với mục đích sử dụng của thuốc được quy định tại điểm c khoản 1 Điều 54 Nghị định này. Giám đốc cơ sở khám bệnh, chữa bệnh chịu trách nhiệm về việc điều chuyển thuốc tại chính cơ sở.</w:t>
      </w:r>
    </w:p>
    <w:p w14:paraId="544226FA" w14:textId="6053D8E8" w:rsidR="00CF47F1" w:rsidRPr="00FC3FF3" w:rsidRDefault="00FC3FF3" w:rsidP="0012594D">
      <w:pPr>
        <w:shd w:val="clear" w:color="auto" w:fill="FFFFFF" w:themeFill="background1"/>
        <w:autoSpaceDE w:val="0"/>
        <w:autoSpaceDN w:val="0"/>
        <w:adjustRightInd w:val="0"/>
        <w:jc w:val="both"/>
        <w:rPr>
          <w:bCs/>
          <w:iCs/>
        </w:rPr>
      </w:pPr>
      <w:r>
        <w:rPr>
          <w:bCs/>
          <w:iCs/>
        </w:rPr>
        <w:tab/>
      </w:r>
      <w:r w:rsidR="0097231D">
        <w:rPr>
          <w:b/>
        </w:rPr>
        <w:t>14. Bảo đảm thống nhất phạm vi điều chỉnh, quy định về hóa chất và chia sẻ thông tin xuất nhập khẩu:</w:t>
      </w:r>
    </w:p>
    <w:p w14:paraId="08DE2661" w14:textId="30E14C47" w:rsidR="001D77AA" w:rsidRPr="001D77AA" w:rsidRDefault="001D77AA" w:rsidP="0012594D">
      <w:pPr>
        <w:shd w:val="clear" w:color="auto" w:fill="FFFFFF" w:themeFill="background1"/>
        <w:autoSpaceDE w:val="0"/>
        <w:autoSpaceDN w:val="0"/>
        <w:adjustRightInd w:val="0"/>
        <w:jc w:val="both"/>
        <w:rPr>
          <w:bCs/>
          <w:lang w:val="vi"/>
        </w:rPr>
      </w:pPr>
      <w:r>
        <w:tab/>
        <w:t xml:space="preserve">Rà soát khoản 1 Điều 1 theo phạm vi, căn cứ giao quy định chi tiết của </w:t>
      </w:r>
      <w:r w:rsidR="00842A1F">
        <w:t>dự thảo Luật</w:t>
      </w:r>
      <w:r>
        <w:t xml:space="preserve"> khi được ban hành; </w:t>
      </w:r>
      <w:r w:rsidR="00842A1F">
        <w:t xml:space="preserve">rà soát </w:t>
      </w:r>
      <w:r>
        <w:t>khoản 7 Điều 82 bảo đảm phù hợp Luật Hóa chất và văn bản quy định chi tiết; sửa đổi khoản 4 Điều 130 theo hướng Bộ Tài chính chia sẻ định kỳ, đột xuất với Bộ Y tế thông tin thuốc, nguyên liệu làm thuốc đã thông quan xuất khẩu, nhập khẩu, bao gồm giá thuốc nhập khẩu, để phục vụ công tác quản lý nhà nước. Các quy định này cần được hoàn thiện thống nhất về thẩm quyền, phạm vi dữ liệu và thời hạn thực hiện.</w:t>
      </w:r>
    </w:p>
    <w:p w14:paraId="4D731DBF" w14:textId="77777777" w:rsidR="00CF47F1" w:rsidRPr="00725A41" w:rsidRDefault="0097231D" w:rsidP="0012594D">
      <w:pPr>
        <w:keepNext/>
        <w:shd w:val="clear" w:color="auto" w:fill="FFFFFF" w:themeFill="background1"/>
        <w:autoSpaceDE w:val="0"/>
        <w:autoSpaceDN w:val="0"/>
        <w:adjustRightInd w:val="0"/>
        <w:jc w:val="both"/>
        <w:rPr>
          <w:b/>
          <w:bCs/>
        </w:rPr>
      </w:pPr>
      <w:r>
        <w:rPr>
          <w:b/>
        </w:rPr>
        <w:tab/>
        <w:t>15. Hoàn thiện biểu mẫu phục vụ cấp Giấy chứng nhận sản phẩm dược (CPP):</w:t>
      </w:r>
    </w:p>
    <w:p w14:paraId="5448FF4D" w14:textId="069037E9" w:rsidR="001D77AA" w:rsidRPr="001C39BB" w:rsidRDefault="001D77AA" w:rsidP="0012594D">
      <w:pPr>
        <w:shd w:val="clear" w:color="auto" w:fill="FFFFFF" w:themeFill="background1"/>
        <w:autoSpaceDE w:val="0"/>
        <w:autoSpaceDN w:val="0"/>
        <w:adjustRightInd w:val="0"/>
        <w:jc w:val="both"/>
        <w:rPr>
          <w:lang w:val="vi"/>
        </w:rPr>
      </w:pPr>
      <w:r>
        <w:tab/>
        <w:t>Rà soát, sửa đổi, bổ sung các mẫu có liên quan tại Phụ lục III, bao gồm mẫu đề nghị, cấp giấy và mẫu dùng trong hoạt động xuất khẩu thuốc, nguyên liệu làm thuốc, để thể hiện đầy đủ nội dung liên quan đến CPP; bảo đảm đáp ứng yêu cầu của thị trường nhập khẩu mà không đặt thêm thủ tục hành chính không cần thiết.</w:t>
      </w:r>
      <w:r w:rsidR="001C39BB">
        <w:t xml:space="preserve"> Cụ thể: </w:t>
      </w:r>
      <w:r w:rsidR="00FC3FF3">
        <w:rPr>
          <w:lang w:val="vi"/>
        </w:rPr>
        <w:t>Thay thế Mẫu số 4, Mẫu số 5,</w:t>
      </w:r>
      <w:r w:rsidR="001C39BB" w:rsidRPr="001C39BB">
        <w:rPr>
          <w:lang w:val="vi"/>
        </w:rPr>
        <w:t xml:space="preserve"> Mẫu số 12, Mẫu số 14, Mẫu số 41 tại Phụ lục III kèm theo Nghị định số 163/2025/NĐ-CP tại Mẫu số 01, Mẫu số 4, Mẫu số 14 tại Phụ lục </w:t>
      </w:r>
      <w:r w:rsidR="001C39BB" w:rsidRPr="001C39BB">
        <w:rPr>
          <w:lang w:val="vi-VN"/>
        </w:rPr>
        <w:t xml:space="preserve">II </w:t>
      </w:r>
      <w:r w:rsidR="001C39BB" w:rsidRPr="001C39BB">
        <w:rPr>
          <w:lang w:val="vi"/>
        </w:rPr>
        <w:t>kèm theo Nghị định này.</w:t>
      </w:r>
    </w:p>
    <w:p w14:paraId="1E0C32F8" w14:textId="01CBA088" w:rsidR="00681789" w:rsidRPr="009C3B25" w:rsidRDefault="00471DD0" w:rsidP="0012594D">
      <w:pPr>
        <w:shd w:val="clear" w:color="auto" w:fill="FFFFFF" w:themeFill="background1"/>
        <w:autoSpaceDE w:val="0"/>
        <w:autoSpaceDN w:val="0"/>
        <w:adjustRightInd w:val="0"/>
        <w:ind w:firstLine="720"/>
        <w:jc w:val="both"/>
        <w:rPr>
          <w:b/>
          <w:bCs/>
        </w:rPr>
      </w:pPr>
      <w:r w:rsidRPr="005B48D9">
        <w:rPr>
          <w:bCs/>
        </w:rPr>
        <w:t>Trên đây là Báo cáo tổng kết việc thi hành Nghị định số 163/2025/NĐ-CP ngày 29 tháng 6 năm 2025 của Chính phủ quy định chi tiết một số điều và biện pháp để tổ chức, hướng dẫn thi hành Luật Dược./</w:t>
      </w:r>
      <w:r w:rsidR="00F45E4F" w:rsidRPr="005B48D9">
        <w:rPr>
          <w:bCs/>
        </w:rPr>
        <w:t>.</w:t>
      </w:r>
    </w:p>
    <w:p w14:paraId="550C222B" w14:textId="77777777" w:rsidR="0087448A" w:rsidRPr="00CA39BF" w:rsidRDefault="0087448A" w:rsidP="00CA39BF">
      <w:pPr>
        <w:shd w:val="clear" w:color="auto" w:fill="FFFFFF" w:themeFill="background1"/>
        <w:autoSpaceDE w:val="0"/>
        <w:autoSpaceDN w:val="0"/>
        <w:adjustRightInd w:val="0"/>
        <w:spacing w:line="276" w:lineRule="auto"/>
        <w:ind w:firstLine="851"/>
        <w:jc w:val="both"/>
        <w:rPr>
          <w:color w:val="000000" w:themeColor="text1"/>
          <w:lang w:val="vi-VN"/>
        </w:rPr>
      </w:pPr>
    </w:p>
    <w:tbl>
      <w:tblPr>
        <w:tblW w:w="9072" w:type="dxa"/>
        <w:tblLayout w:type="fixed"/>
        <w:tblLook w:val="0000" w:firstRow="0" w:lastRow="0" w:firstColumn="0" w:lastColumn="0" w:noHBand="0" w:noVBand="0"/>
      </w:tblPr>
      <w:tblGrid>
        <w:gridCol w:w="5670"/>
        <w:gridCol w:w="3402"/>
      </w:tblGrid>
      <w:tr w:rsidR="006A3A9D" w:rsidRPr="00CA39BF" w14:paraId="7B76E4D1" w14:textId="77777777" w:rsidTr="006A3A9D">
        <w:trPr>
          <w:trHeight w:val="80"/>
        </w:trPr>
        <w:tc>
          <w:tcPr>
            <w:tcW w:w="5670" w:type="dxa"/>
          </w:tcPr>
          <w:p w14:paraId="4D87AFCD" w14:textId="595C163B" w:rsidR="006A3A9D" w:rsidRDefault="006A3A9D" w:rsidP="006A3A9D">
            <w:pPr>
              <w:jc w:val="both"/>
              <w:rPr>
                <w:b/>
                <w:i/>
                <w:sz w:val="22"/>
                <w:szCs w:val="22"/>
              </w:rPr>
            </w:pPr>
            <w:r>
              <w:rPr>
                <w:b/>
                <w:i/>
                <w:sz w:val="22"/>
                <w:szCs w:val="22"/>
              </w:rPr>
              <w:t>Nơi nhận:</w:t>
            </w:r>
          </w:p>
          <w:p w14:paraId="69701FB1" w14:textId="77777777" w:rsidR="006A3A9D" w:rsidRDefault="006A3A9D" w:rsidP="006A3A9D">
            <w:pPr>
              <w:widowControl w:val="0"/>
              <w:ind w:left="-108"/>
              <w:jc w:val="both"/>
              <w:rPr>
                <w:sz w:val="22"/>
                <w:szCs w:val="22"/>
              </w:rPr>
            </w:pPr>
            <w:r>
              <w:rPr>
                <w:sz w:val="22"/>
                <w:szCs w:val="22"/>
              </w:rPr>
              <w:t>- Thủ tướng Chính phủ (để báo cáo);</w:t>
            </w:r>
          </w:p>
          <w:p w14:paraId="0D7CA970" w14:textId="48F64A7A" w:rsidR="006A3A9D" w:rsidRDefault="006A3A9D" w:rsidP="006A3A9D">
            <w:pPr>
              <w:widowControl w:val="0"/>
              <w:ind w:left="-108"/>
              <w:jc w:val="both"/>
              <w:rPr>
                <w:sz w:val="22"/>
                <w:szCs w:val="22"/>
              </w:rPr>
            </w:pPr>
            <w:r>
              <w:rPr>
                <w:sz w:val="22"/>
                <w:szCs w:val="22"/>
              </w:rPr>
              <w:t xml:space="preserve">- </w:t>
            </w:r>
            <w:r w:rsidR="001359F8">
              <w:rPr>
                <w:sz w:val="22"/>
                <w:szCs w:val="22"/>
              </w:rPr>
              <w:t xml:space="preserve">Các </w:t>
            </w:r>
            <w:r>
              <w:rPr>
                <w:sz w:val="22"/>
                <w:szCs w:val="22"/>
              </w:rPr>
              <w:t>Phó Thủ tướng (để báo cáo);</w:t>
            </w:r>
          </w:p>
          <w:p w14:paraId="2B940728" w14:textId="7A5030C4" w:rsidR="001359F8" w:rsidRDefault="001359F8" w:rsidP="006A3A9D">
            <w:pPr>
              <w:widowControl w:val="0"/>
              <w:ind w:left="-108"/>
              <w:jc w:val="both"/>
              <w:rPr>
                <w:sz w:val="22"/>
                <w:szCs w:val="22"/>
              </w:rPr>
            </w:pPr>
            <w:r>
              <w:rPr>
                <w:sz w:val="22"/>
                <w:szCs w:val="22"/>
              </w:rPr>
              <w:t>- Bộ trưởng (để báo cáo);</w:t>
            </w:r>
          </w:p>
          <w:p w14:paraId="027CE2E4" w14:textId="6AC5CE05" w:rsidR="006A3A9D" w:rsidRDefault="006A3A9D" w:rsidP="006A3A9D">
            <w:pPr>
              <w:widowControl w:val="0"/>
              <w:ind w:left="-108"/>
              <w:jc w:val="both"/>
              <w:rPr>
                <w:sz w:val="22"/>
                <w:szCs w:val="22"/>
              </w:rPr>
            </w:pPr>
            <w:r>
              <w:rPr>
                <w:sz w:val="22"/>
                <w:szCs w:val="22"/>
              </w:rPr>
              <w:t xml:space="preserve">- </w:t>
            </w:r>
            <w:r w:rsidR="001359F8">
              <w:rPr>
                <w:sz w:val="22"/>
                <w:szCs w:val="22"/>
              </w:rPr>
              <w:t>Các thành viên Chính phủ;</w:t>
            </w:r>
          </w:p>
          <w:p w14:paraId="0C18F6F5" w14:textId="6FD22CFE" w:rsidR="006A3A9D" w:rsidRDefault="006A3A9D" w:rsidP="006A3A9D">
            <w:pPr>
              <w:widowControl w:val="0"/>
              <w:ind w:left="-108"/>
              <w:jc w:val="both"/>
              <w:rPr>
                <w:sz w:val="22"/>
                <w:szCs w:val="22"/>
              </w:rPr>
            </w:pPr>
            <w:r>
              <w:rPr>
                <w:sz w:val="22"/>
                <w:szCs w:val="22"/>
              </w:rPr>
              <w:t xml:space="preserve">- </w:t>
            </w:r>
            <w:r w:rsidR="001359F8">
              <w:rPr>
                <w:sz w:val="22"/>
                <w:szCs w:val="22"/>
              </w:rPr>
              <w:t>Ủy ban Tư pháp của Quốc hội</w:t>
            </w:r>
            <w:r>
              <w:rPr>
                <w:sz w:val="22"/>
                <w:szCs w:val="22"/>
              </w:rPr>
              <w:t xml:space="preserve"> (để phối hợp);</w:t>
            </w:r>
          </w:p>
          <w:p w14:paraId="6D14F34C" w14:textId="49DED3B5" w:rsidR="001359F8" w:rsidRDefault="001359F8" w:rsidP="006A3A9D">
            <w:pPr>
              <w:widowControl w:val="0"/>
              <w:ind w:left="-108"/>
              <w:jc w:val="both"/>
              <w:rPr>
                <w:sz w:val="22"/>
                <w:szCs w:val="22"/>
              </w:rPr>
            </w:pPr>
            <w:r>
              <w:rPr>
                <w:sz w:val="22"/>
                <w:szCs w:val="22"/>
              </w:rPr>
              <w:t>- Ủy ban Pháp luật của Quốc hội (để phối hợp);</w:t>
            </w:r>
          </w:p>
          <w:p w14:paraId="046CB4AD" w14:textId="1DAC620D" w:rsidR="001359F8" w:rsidRDefault="001359F8" w:rsidP="006A3A9D">
            <w:pPr>
              <w:widowControl w:val="0"/>
              <w:ind w:left="-108"/>
              <w:jc w:val="both"/>
              <w:rPr>
                <w:sz w:val="22"/>
                <w:szCs w:val="22"/>
              </w:rPr>
            </w:pPr>
            <w:r>
              <w:rPr>
                <w:sz w:val="22"/>
                <w:szCs w:val="22"/>
              </w:rPr>
              <w:t>- Văn phòng chính phủ (để phối hợp);</w:t>
            </w:r>
          </w:p>
          <w:p w14:paraId="2D057DCC" w14:textId="612A8C3E" w:rsidR="006A3A9D" w:rsidRPr="00780E6F" w:rsidRDefault="006A3A9D" w:rsidP="001359F8">
            <w:pPr>
              <w:widowControl w:val="0"/>
              <w:ind w:left="-108"/>
              <w:jc w:val="both"/>
              <w:rPr>
                <w:sz w:val="22"/>
                <w:szCs w:val="22"/>
              </w:rPr>
            </w:pPr>
            <w:r>
              <w:rPr>
                <w:sz w:val="22"/>
                <w:szCs w:val="22"/>
              </w:rPr>
              <w:t xml:space="preserve">- Lưu: VT, </w:t>
            </w:r>
            <w:r w:rsidR="001359F8">
              <w:rPr>
                <w:sz w:val="22"/>
                <w:szCs w:val="22"/>
                <w:lang w:val="nl-NL"/>
              </w:rPr>
              <w:t>PC.</w:t>
            </w:r>
          </w:p>
        </w:tc>
        <w:tc>
          <w:tcPr>
            <w:tcW w:w="3402" w:type="dxa"/>
          </w:tcPr>
          <w:p w14:paraId="46B7CEE1" w14:textId="63B79C27" w:rsidR="006A3A9D" w:rsidRDefault="001359F8" w:rsidP="006A3A9D">
            <w:pPr>
              <w:widowControl w:val="0"/>
              <w:jc w:val="center"/>
              <w:rPr>
                <w:b/>
              </w:rPr>
            </w:pPr>
            <w:r>
              <w:rPr>
                <w:b/>
              </w:rPr>
              <w:t xml:space="preserve">KT. </w:t>
            </w:r>
            <w:r w:rsidR="0087448A">
              <w:rPr>
                <w:b/>
              </w:rPr>
              <w:t>BỘ TRƯỞNG</w:t>
            </w:r>
          </w:p>
          <w:p w14:paraId="15EE746A" w14:textId="77F4BDBA" w:rsidR="001359F8" w:rsidRDefault="001359F8" w:rsidP="006A3A9D">
            <w:pPr>
              <w:widowControl w:val="0"/>
              <w:jc w:val="center"/>
              <w:rPr>
                <w:b/>
              </w:rPr>
            </w:pPr>
            <w:r>
              <w:rPr>
                <w:b/>
              </w:rPr>
              <w:t>THỨ TRƯỞNG</w:t>
            </w:r>
          </w:p>
          <w:p w14:paraId="14886A6D" w14:textId="77777777" w:rsidR="006A3A9D" w:rsidRDefault="006A3A9D" w:rsidP="006A3A9D">
            <w:pPr>
              <w:widowControl w:val="0"/>
              <w:jc w:val="center"/>
              <w:rPr>
                <w:b/>
              </w:rPr>
            </w:pPr>
          </w:p>
          <w:p w14:paraId="1A12C933" w14:textId="77777777" w:rsidR="00681789" w:rsidRDefault="00681789" w:rsidP="006A3A9D">
            <w:pPr>
              <w:widowControl w:val="0"/>
              <w:jc w:val="center"/>
              <w:rPr>
                <w:b/>
              </w:rPr>
            </w:pPr>
          </w:p>
          <w:p w14:paraId="32321EF0" w14:textId="77777777" w:rsidR="00780E6F" w:rsidRDefault="00780E6F" w:rsidP="006A3A9D">
            <w:pPr>
              <w:widowControl w:val="0"/>
              <w:jc w:val="center"/>
              <w:rPr>
                <w:b/>
              </w:rPr>
            </w:pPr>
          </w:p>
          <w:p w14:paraId="47D9A3EB" w14:textId="77777777" w:rsidR="00780E6F" w:rsidRDefault="00780E6F" w:rsidP="006A3A9D">
            <w:pPr>
              <w:widowControl w:val="0"/>
              <w:jc w:val="center"/>
              <w:rPr>
                <w:b/>
              </w:rPr>
            </w:pPr>
          </w:p>
          <w:p w14:paraId="5DBD628C" w14:textId="77777777" w:rsidR="006A3A9D" w:rsidRDefault="006A3A9D" w:rsidP="006A3A9D">
            <w:pPr>
              <w:widowControl w:val="0"/>
              <w:jc w:val="center"/>
              <w:rPr>
                <w:b/>
              </w:rPr>
            </w:pPr>
          </w:p>
          <w:p w14:paraId="457A7777" w14:textId="44245B73" w:rsidR="006A3A9D" w:rsidRDefault="001359F8" w:rsidP="006A3A9D">
            <w:pPr>
              <w:widowControl w:val="0"/>
              <w:jc w:val="center"/>
              <w:rPr>
                <w:b/>
              </w:rPr>
            </w:pPr>
            <w:r>
              <w:rPr>
                <w:b/>
              </w:rPr>
              <w:t>Đỗ Xuân Tuyên</w:t>
            </w:r>
          </w:p>
          <w:p w14:paraId="0645EB92" w14:textId="77777777" w:rsidR="006A3A9D" w:rsidRDefault="006A3A9D" w:rsidP="006A3A9D">
            <w:pPr>
              <w:widowControl w:val="0"/>
              <w:rPr>
                <w:b/>
              </w:rPr>
            </w:pPr>
          </w:p>
          <w:p w14:paraId="436B03A0" w14:textId="77777777" w:rsidR="006A3A9D" w:rsidRDefault="006A3A9D" w:rsidP="0087448A">
            <w:pPr>
              <w:widowControl w:val="0"/>
              <w:jc w:val="center"/>
              <w:rPr>
                <w:b/>
              </w:rPr>
            </w:pPr>
          </w:p>
        </w:tc>
      </w:tr>
    </w:tbl>
    <w:p w14:paraId="47FE6306" w14:textId="77777777" w:rsidR="00FF74EB" w:rsidRDefault="00FF74EB" w:rsidP="00780E6F">
      <w:pPr>
        <w:spacing w:line="276" w:lineRule="auto"/>
        <w:jc w:val="center"/>
        <w:rPr>
          <w:b/>
          <w:color w:val="000000" w:themeColor="text1"/>
        </w:rPr>
      </w:pPr>
    </w:p>
    <w:p w14:paraId="6771F1EB" w14:textId="77777777" w:rsidR="00FF74EB" w:rsidRDefault="00FF74EB" w:rsidP="00780E6F">
      <w:pPr>
        <w:spacing w:line="276" w:lineRule="auto"/>
        <w:jc w:val="center"/>
        <w:rPr>
          <w:b/>
          <w:color w:val="000000" w:themeColor="text1"/>
        </w:rPr>
      </w:pPr>
    </w:p>
    <w:p w14:paraId="6049AA82" w14:textId="77777777" w:rsidR="000E7057" w:rsidRDefault="000E7057" w:rsidP="00780E6F">
      <w:pPr>
        <w:spacing w:line="276" w:lineRule="auto"/>
        <w:jc w:val="center"/>
        <w:rPr>
          <w:b/>
          <w:color w:val="000000" w:themeColor="text1"/>
        </w:rPr>
      </w:pPr>
    </w:p>
    <w:sectPr w:rsidR="000E7057" w:rsidSect="00013C7E">
      <w:headerReference w:type="default" r:id="rId7"/>
      <w:footerReference w:type="default" r:id="rId8"/>
      <w:pgSz w:w="11907" w:h="16840" w:code="9"/>
      <w:pgMar w:top="1440" w:right="1138" w:bottom="1440" w:left="1699" w:header="720"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C173B7" w14:textId="77777777" w:rsidR="00282809" w:rsidRDefault="00282809" w:rsidP="00A85D45">
      <w:r>
        <w:separator/>
      </w:r>
    </w:p>
  </w:endnote>
  <w:endnote w:type="continuationSeparator" w:id="0">
    <w:p w14:paraId="66DF5B5F" w14:textId="77777777" w:rsidR="00282809" w:rsidRDefault="00282809" w:rsidP="00A85D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090400" w14:textId="77777777" w:rsidR="00D90E6E" w:rsidRPr="0067694B" w:rsidRDefault="00282809" w:rsidP="000D4519">
    <w:pPr>
      <w:pStyle w:val="Footer"/>
      <w:rPr>
        <w:sz w:val="26"/>
        <w:szCs w:val="26"/>
      </w:rPr>
    </w:pPr>
  </w:p>
  <w:p w14:paraId="47EB7866" w14:textId="77777777" w:rsidR="00D90E6E" w:rsidRDefault="002828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63E9B2" w14:textId="77777777" w:rsidR="00282809" w:rsidRDefault="00282809" w:rsidP="00A85D45">
      <w:r>
        <w:separator/>
      </w:r>
    </w:p>
  </w:footnote>
  <w:footnote w:type="continuationSeparator" w:id="0">
    <w:p w14:paraId="59C6345A" w14:textId="77777777" w:rsidR="00282809" w:rsidRDefault="00282809" w:rsidP="00A85D45">
      <w:r>
        <w:continuationSeparator/>
      </w:r>
    </w:p>
  </w:footnote>
  <w:footnote w:id="1">
    <w:p w14:paraId="0C2AD2A9" w14:textId="77777777" w:rsidR="0089221C" w:rsidRDefault="0089221C" w:rsidP="0089221C">
      <w:pPr>
        <w:rPr>
          <w:color w:val="FF0000"/>
          <w:sz w:val="20"/>
          <w:szCs w:val="20"/>
        </w:rPr>
      </w:pPr>
      <w:r w:rsidRPr="0089221C">
        <w:rPr>
          <w:vertAlign w:val="superscript"/>
        </w:rPr>
        <w:footnoteRef/>
      </w:r>
      <w:r w:rsidRPr="0089221C">
        <w:rPr>
          <w:sz w:val="20"/>
          <w:szCs w:val="20"/>
        </w:rPr>
        <w:t xml:space="preserve"> Theo Báo cáo số 1115/BC-PB ngày 01/7/2026 của Cục Phòng bệnh.</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7484684"/>
      <w:docPartObj>
        <w:docPartGallery w:val="Page Numbers (Top of Page)"/>
        <w:docPartUnique/>
      </w:docPartObj>
    </w:sdtPr>
    <w:sdtEndPr>
      <w:rPr>
        <w:noProof/>
        <w:sz w:val="26"/>
        <w:szCs w:val="26"/>
      </w:rPr>
    </w:sdtEndPr>
    <w:sdtContent>
      <w:p w14:paraId="7762BD55" w14:textId="77777777" w:rsidR="000D4519" w:rsidRPr="00013C7E" w:rsidRDefault="000D4519">
        <w:pPr>
          <w:pStyle w:val="Header"/>
          <w:jc w:val="center"/>
          <w:rPr>
            <w:sz w:val="26"/>
            <w:szCs w:val="26"/>
          </w:rPr>
        </w:pPr>
        <w:r w:rsidRPr="00013C7E">
          <w:rPr>
            <w:sz w:val="26"/>
            <w:szCs w:val="26"/>
          </w:rPr>
          <w:fldChar w:fldCharType="begin"/>
        </w:r>
        <w:r w:rsidRPr="00013C7E">
          <w:rPr>
            <w:sz w:val="26"/>
            <w:szCs w:val="26"/>
          </w:rPr>
          <w:instrText xml:space="preserve"> PAGE   \* MERGEFORMAT </w:instrText>
        </w:r>
        <w:r w:rsidRPr="00013C7E">
          <w:rPr>
            <w:sz w:val="26"/>
            <w:szCs w:val="26"/>
          </w:rPr>
          <w:fldChar w:fldCharType="separate"/>
        </w:r>
        <w:r w:rsidR="0097555C">
          <w:rPr>
            <w:noProof/>
            <w:sz w:val="26"/>
            <w:szCs w:val="26"/>
          </w:rPr>
          <w:t>3</w:t>
        </w:r>
        <w:r w:rsidRPr="00013C7E">
          <w:rPr>
            <w:noProof/>
            <w:sz w:val="26"/>
            <w:szCs w:val="26"/>
          </w:rPr>
          <w:fldChar w:fldCharType="end"/>
        </w:r>
      </w:p>
    </w:sdtContent>
  </w:sdt>
  <w:p w14:paraId="2206530D" w14:textId="77777777" w:rsidR="000D4519" w:rsidRDefault="000D451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6E6E2D"/>
    <w:multiLevelType w:val="multilevel"/>
    <w:tmpl w:val="0A189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40B0CA3"/>
    <w:multiLevelType w:val="multilevel"/>
    <w:tmpl w:val="EC087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9584231"/>
    <w:multiLevelType w:val="multilevel"/>
    <w:tmpl w:val="3E9E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5D45"/>
    <w:rsid w:val="000003FB"/>
    <w:rsid w:val="00002426"/>
    <w:rsid w:val="00013C7E"/>
    <w:rsid w:val="00014C8A"/>
    <w:rsid w:val="00021015"/>
    <w:rsid w:val="000212F9"/>
    <w:rsid w:val="00024D0C"/>
    <w:rsid w:val="00055AC1"/>
    <w:rsid w:val="0006577D"/>
    <w:rsid w:val="00075C49"/>
    <w:rsid w:val="00085C31"/>
    <w:rsid w:val="000873F0"/>
    <w:rsid w:val="00090F21"/>
    <w:rsid w:val="00095811"/>
    <w:rsid w:val="000A2F31"/>
    <w:rsid w:val="000B51B0"/>
    <w:rsid w:val="000C2DEB"/>
    <w:rsid w:val="000D4519"/>
    <w:rsid w:val="000D53EB"/>
    <w:rsid w:val="000E36FC"/>
    <w:rsid w:val="000E3A1A"/>
    <w:rsid w:val="000E4C59"/>
    <w:rsid w:val="000E6BB9"/>
    <w:rsid w:val="000E7057"/>
    <w:rsid w:val="00116EAD"/>
    <w:rsid w:val="0012425D"/>
    <w:rsid w:val="001250B6"/>
    <w:rsid w:val="0012594D"/>
    <w:rsid w:val="00131D92"/>
    <w:rsid w:val="001359F8"/>
    <w:rsid w:val="00141F2A"/>
    <w:rsid w:val="00143E65"/>
    <w:rsid w:val="00162A79"/>
    <w:rsid w:val="00166495"/>
    <w:rsid w:val="00186717"/>
    <w:rsid w:val="001A1FCF"/>
    <w:rsid w:val="001B1A68"/>
    <w:rsid w:val="001B50EB"/>
    <w:rsid w:val="001C1E88"/>
    <w:rsid w:val="001C39BB"/>
    <w:rsid w:val="001C39F3"/>
    <w:rsid w:val="001C488D"/>
    <w:rsid w:val="001D3539"/>
    <w:rsid w:val="001D77AA"/>
    <w:rsid w:val="001E18DF"/>
    <w:rsid w:val="001E69EE"/>
    <w:rsid w:val="00215F9B"/>
    <w:rsid w:val="0021671C"/>
    <w:rsid w:val="002321A0"/>
    <w:rsid w:val="00237A40"/>
    <w:rsid w:val="00237F4F"/>
    <w:rsid w:val="00240D5F"/>
    <w:rsid w:val="00242D44"/>
    <w:rsid w:val="002452D5"/>
    <w:rsid w:val="002506D5"/>
    <w:rsid w:val="00254C68"/>
    <w:rsid w:val="002615B4"/>
    <w:rsid w:val="0026719C"/>
    <w:rsid w:val="00270B27"/>
    <w:rsid w:val="002716FF"/>
    <w:rsid w:val="00272019"/>
    <w:rsid w:val="00272D82"/>
    <w:rsid w:val="00282809"/>
    <w:rsid w:val="00284D86"/>
    <w:rsid w:val="002A0116"/>
    <w:rsid w:val="002A27CE"/>
    <w:rsid w:val="002A383A"/>
    <w:rsid w:val="002C01B1"/>
    <w:rsid w:val="002E3556"/>
    <w:rsid w:val="002F3E4E"/>
    <w:rsid w:val="00311E3E"/>
    <w:rsid w:val="003463D4"/>
    <w:rsid w:val="00346790"/>
    <w:rsid w:val="003476AF"/>
    <w:rsid w:val="00356D85"/>
    <w:rsid w:val="0036088C"/>
    <w:rsid w:val="00372FB8"/>
    <w:rsid w:val="003755C7"/>
    <w:rsid w:val="00380E02"/>
    <w:rsid w:val="00382214"/>
    <w:rsid w:val="00383021"/>
    <w:rsid w:val="0038388E"/>
    <w:rsid w:val="003874B0"/>
    <w:rsid w:val="003B4AB2"/>
    <w:rsid w:val="003B5354"/>
    <w:rsid w:val="003B6A0C"/>
    <w:rsid w:val="003E24AA"/>
    <w:rsid w:val="003E37B9"/>
    <w:rsid w:val="003F2671"/>
    <w:rsid w:val="00402BEB"/>
    <w:rsid w:val="00404B90"/>
    <w:rsid w:val="00412012"/>
    <w:rsid w:val="00415978"/>
    <w:rsid w:val="00433B1D"/>
    <w:rsid w:val="00445685"/>
    <w:rsid w:val="00454B7C"/>
    <w:rsid w:val="00455C49"/>
    <w:rsid w:val="004673CB"/>
    <w:rsid w:val="00471509"/>
    <w:rsid w:val="00471DD0"/>
    <w:rsid w:val="0048097C"/>
    <w:rsid w:val="0049168E"/>
    <w:rsid w:val="004A7CCD"/>
    <w:rsid w:val="004B6C3F"/>
    <w:rsid w:val="004B737B"/>
    <w:rsid w:val="004B7DFB"/>
    <w:rsid w:val="004D7F6D"/>
    <w:rsid w:val="004F0A17"/>
    <w:rsid w:val="0050547B"/>
    <w:rsid w:val="00506BC5"/>
    <w:rsid w:val="00510F7A"/>
    <w:rsid w:val="00515A09"/>
    <w:rsid w:val="00517B39"/>
    <w:rsid w:val="0052187E"/>
    <w:rsid w:val="00524960"/>
    <w:rsid w:val="00525C02"/>
    <w:rsid w:val="00553D73"/>
    <w:rsid w:val="005544DC"/>
    <w:rsid w:val="005605DA"/>
    <w:rsid w:val="00571BC3"/>
    <w:rsid w:val="00587A40"/>
    <w:rsid w:val="00592D22"/>
    <w:rsid w:val="005B0FA2"/>
    <w:rsid w:val="005B2696"/>
    <w:rsid w:val="005B48D9"/>
    <w:rsid w:val="005B7D28"/>
    <w:rsid w:val="005C4E94"/>
    <w:rsid w:val="005C6F3C"/>
    <w:rsid w:val="005D1394"/>
    <w:rsid w:val="005E0919"/>
    <w:rsid w:val="005E2EAE"/>
    <w:rsid w:val="005F2DBF"/>
    <w:rsid w:val="005F36D7"/>
    <w:rsid w:val="0060557C"/>
    <w:rsid w:val="0060638E"/>
    <w:rsid w:val="0061217E"/>
    <w:rsid w:val="00613560"/>
    <w:rsid w:val="0061413F"/>
    <w:rsid w:val="0061477E"/>
    <w:rsid w:val="00621416"/>
    <w:rsid w:val="006225B7"/>
    <w:rsid w:val="0064291E"/>
    <w:rsid w:val="006677B8"/>
    <w:rsid w:val="006732FD"/>
    <w:rsid w:val="00681789"/>
    <w:rsid w:val="00687828"/>
    <w:rsid w:val="00692EAC"/>
    <w:rsid w:val="006A1108"/>
    <w:rsid w:val="006A3A9D"/>
    <w:rsid w:val="006B407B"/>
    <w:rsid w:val="006D06C7"/>
    <w:rsid w:val="006D0737"/>
    <w:rsid w:val="00700B7C"/>
    <w:rsid w:val="00711A36"/>
    <w:rsid w:val="00721B1D"/>
    <w:rsid w:val="00722C46"/>
    <w:rsid w:val="00725A41"/>
    <w:rsid w:val="007319EE"/>
    <w:rsid w:val="007663D0"/>
    <w:rsid w:val="00780E6F"/>
    <w:rsid w:val="00784645"/>
    <w:rsid w:val="007853D8"/>
    <w:rsid w:val="0078541A"/>
    <w:rsid w:val="00785A6C"/>
    <w:rsid w:val="00785DE5"/>
    <w:rsid w:val="007A3099"/>
    <w:rsid w:val="007A3DA0"/>
    <w:rsid w:val="007A63C0"/>
    <w:rsid w:val="007B24E5"/>
    <w:rsid w:val="007B4024"/>
    <w:rsid w:val="007E46CE"/>
    <w:rsid w:val="007E78EE"/>
    <w:rsid w:val="007F78F2"/>
    <w:rsid w:val="00806C7A"/>
    <w:rsid w:val="008110D8"/>
    <w:rsid w:val="00811580"/>
    <w:rsid w:val="00820E77"/>
    <w:rsid w:val="00823C3D"/>
    <w:rsid w:val="008359CC"/>
    <w:rsid w:val="00842A1F"/>
    <w:rsid w:val="00852C86"/>
    <w:rsid w:val="00857392"/>
    <w:rsid w:val="00871276"/>
    <w:rsid w:val="00871747"/>
    <w:rsid w:val="00871D8E"/>
    <w:rsid w:val="0087448A"/>
    <w:rsid w:val="0088269F"/>
    <w:rsid w:val="00882917"/>
    <w:rsid w:val="0089221C"/>
    <w:rsid w:val="008956C4"/>
    <w:rsid w:val="00896D79"/>
    <w:rsid w:val="008A2E4E"/>
    <w:rsid w:val="008C405D"/>
    <w:rsid w:val="008D39FA"/>
    <w:rsid w:val="008D6548"/>
    <w:rsid w:val="008D704F"/>
    <w:rsid w:val="008E42D8"/>
    <w:rsid w:val="00937E31"/>
    <w:rsid w:val="009421D3"/>
    <w:rsid w:val="009537FD"/>
    <w:rsid w:val="00966D92"/>
    <w:rsid w:val="0097231D"/>
    <w:rsid w:val="0097555C"/>
    <w:rsid w:val="00976D2A"/>
    <w:rsid w:val="00984CF5"/>
    <w:rsid w:val="009A0095"/>
    <w:rsid w:val="009A5096"/>
    <w:rsid w:val="009B1B38"/>
    <w:rsid w:val="009B37BE"/>
    <w:rsid w:val="009C3B25"/>
    <w:rsid w:val="009D3509"/>
    <w:rsid w:val="00A07BFB"/>
    <w:rsid w:val="00A11ED0"/>
    <w:rsid w:val="00A53DAA"/>
    <w:rsid w:val="00A62E2A"/>
    <w:rsid w:val="00A72B27"/>
    <w:rsid w:val="00A730AA"/>
    <w:rsid w:val="00A823A3"/>
    <w:rsid w:val="00A849AF"/>
    <w:rsid w:val="00A85D45"/>
    <w:rsid w:val="00A8694B"/>
    <w:rsid w:val="00A903A9"/>
    <w:rsid w:val="00AA0E13"/>
    <w:rsid w:val="00AB1049"/>
    <w:rsid w:val="00AB6909"/>
    <w:rsid w:val="00AC1E0E"/>
    <w:rsid w:val="00AE4DC1"/>
    <w:rsid w:val="00AE52A7"/>
    <w:rsid w:val="00B06743"/>
    <w:rsid w:val="00B3260E"/>
    <w:rsid w:val="00B645B0"/>
    <w:rsid w:val="00B80534"/>
    <w:rsid w:val="00B826CD"/>
    <w:rsid w:val="00BA4937"/>
    <w:rsid w:val="00BB2252"/>
    <w:rsid w:val="00BC5222"/>
    <w:rsid w:val="00BC694E"/>
    <w:rsid w:val="00BD0F84"/>
    <w:rsid w:val="00BD24EC"/>
    <w:rsid w:val="00BE74D9"/>
    <w:rsid w:val="00C2455D"/>
    <w:rsid w:val="00C31EFC"/>
    <w:rsid w:val="00C35C2C"/>
    <w:rsid w:val="00C51C85"/>
    <w:rsid w:val="00C52658"/>
    <w:rsid w:val="00C54C5F"/>
    <w:rsid w:val="00C77D2E"/>
    <w:rsid w:val="00C829C6"/>
    <w:rsid w:val="00C86BBC"/>
    <w:rsid w:val="00C87663"/>
    <w:rsid w:val="00CA376C"/>
    <w:rsid w:val="00CA39BF"/>
    <w:rsid w:val="00CE4CA3"/>
    <w:rsid w:val="00CF47F1"/>
    <w:rsid w:val="00CF58D4"/>
    <w:rsid w:val="00D02730"/>
    <w:rsid w:val="00D15392"/>
    <w:rsid w:val="00D27274"/>
    <w:rsid w:val="00D446B2"/>
    <w:rsid w:val="00D50D18"/>
    <w:rsid w:val="00D63E43"/>
    <w:rsid w:val="00D643E8"/>
    <w:rsid w:val="00D7627B"/>
    <w:rsid w:val="00DC7CBC"/>
    <w:rsid w:val="00DD0270"/>
    <w:rsid w:val="00DD3042"/>
    <w:rsid w:val="00DE236A"/>
    <w:rsid w:val="00DE4DFA"/>
    <w:rsid w:val="00DF0F29"/>
    <w:rsid w:val="00DF1975"/>
    <w:rsid w:val="00E03602"/>
    <w:rsid w:val="00E1546A"/>
    <w:rsid w:val="00E20665"/>
    <w:rsid w:val="00E32E8B"/>
    <w:rsid w:val="00E40BD0"/>
    <w:rsid w:val="00E4643C"/>
    <w:rsid w:val="00E519B9"/>
    <w:rsid w:val="00E63FF8"/>
    <w:rsid w:val="00E760C3"/>
    <w:rsid w:val="00E92465"/>
    <w:rsid w:val="00E930EF"/>
    <w:rsid w:val="00E97EF1"/>
    <w:rsid w:val="00EA3596"/>
    <w:rsid w:val="00EA70C2"/>
    <w:rsid w:val="00EB6330"/>
    <w:rsid w:val="00EB7533"/>
    <w:rsid w:val="00EE204A"/>
    <w:rsid w:val="00EE3CD7"/>
    <w:rsid w:val="00EE56B1"/>
    <w:rsid w:val="00EE7107"/>
    <w:rsid w:val="00EF1655"/>
    <w:rsid w:val="00F24FED"/>
    <w:rsid w:val="00F26976"/>
    <w:rsid w:val="00F270FD"/>
    <w:rsid w:val="00F33AAA"/>
    <w:rsid w:val="00F442A8"/>
    <w:rsid w:val="00F45E4F"/>
    <w:rsid w:val="00F47C7B"/>
    <w:rsid w:val="00F50D48"/>
    <w:rsid w:val="00F535A2"/>
    <w:rsid w:val="00F54BA2"/>
    <w:rsid w:val="00F87E7E"/>
    <w:rsid w:val="00F9716E"/>
    <w:rsid w:val="00FA0C0D"/>
    <w:rsid w:val="00FA1F90"/>
    <w:rsid w:val="00FA5A0B"/>
    <w:rsid w:val="00FB3BED"/>
    <w:rsid w:val="00FB49D8"/>
    <w:rsid w:val="00FC0FBC"/>
    <w:rsid w:val="00FC3FF3"/>
    <w:rsid w:val="00FD14DB"/>
    <w:rsid w:val="00FD7B91"/>
    <w:rsid w:val="00FF74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A8619"/>
  <w15:docId w15:val="{EB04AD5F-C87F-407B-AD5C-84F7CDAC6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5D45"/>
    <w:pPr>
      <w:spacing w:after="0" w:line="240" w:lineRule="auto"/>
    </w:pPr>
    <w:rPr>
      <w:rFonts w:ascii="Times New Roman" w:eastAsia="Times New Roman" w:hAnsi="Times New Roman" w:cs="Times New Roman"/>
      <w:sz w:val="28"/>
      <w:szCs w:val="28"/>
    </w:rPr>
  </w:style>
  <w:style w:type="paragraph" w:styleId="Heading1">
    <w:name w:val="heading 1"/>
    <w:basedOn w:val="Normal"/>
    <w:next w:val="Normal"/>
    <w:link w:val="Heading1Char"/>
    <w:uiPriority w:val="9"/>
    <w:qFormat/>
    <w:rsid w:val="00024D0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A85D45"/>
    <w:pPr>
      <w:keepNext/>
      <w:spacing w:before="240" w:after="60"/>
      <w:outlineLvl w:val="1"/>
    </w:pPr>
    <w:rPr>
      <w:rFonts w:ascii="Cambria" w:hAnsi="Cambria"/>
      <w:b/>
      <w:bCs/>
      <w:i/>
      <w:iCs/>
      <w:lang w:val="x-none" w:eastAsia="x-none"/>
    </w:rPr>
  </w:style>
  <w:style w:type="paragraph" w:styleId="Heading3">
    <w:name w:val="heading 3"/>
    <w:basedOn w:val="Normal"/>
    <w:next w:val="Normal"/>
    <w:link w:val="Heading3Char"/>
    <w:uiPriority w:val="9"/>
    <w:semiHidden/>
    <w:unhideWhenUsed/>
    <w:qFormat/>
    <w:rsid w:val="00024D0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0003FB"/>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A85D45"/>
    <w:rPr>
      <w:rFonts w:ascii="Cambria" w:eastAsia="Times New Roman" w:hAnsi="Cambria" w:cs="Times New Roman"/>
      <w:b/>
      <w:bCs/>
      <w:i/>
      <w:iCs/>
      <w:sz w:val="28"/>
      <w:szCs w:val="28"/>
      <w:lang w:val="x-none" w:eastAsia="x-none"/>
    </w:rPr>
  </w:style>
  <w:style w:type="character" w:styleId="Strong">
    <w:name w:val="Strong"/>
    <w:qFormat/>
    <w:rsid w:val="00A85D45"/>
    <w:rPr>
      <w:b/>
      <w:bCs/>
    </w:rPr>
  </w:style>
  <w:style w:type="paragraph" w:styleId="Footer">
    <w:name w:val="footer"/>
    <w:basedOn w:val="Normal"/>
    <w:link w:val="FooterChar"/>
    <w:uiPriority w:val="99"/>
    <w:rsid w:val="00A85D45"/>
    <w:pPr>
      <w:tabs>
        <w:tab w:val="center" w:pos="4680"/>
        <w:tab w:val="right" w:pos="9360"/>
      </w:tabs>
    </w:pPr>
    <w:rPr>
      <w:lang w:val="x-none" w:eastAsia="x-none"/>
    </w:rPr>
  </w:style>
  <w:style w:type="character" w:customStyle="1" w:styleId="FooterChar">
    <w:name w:val="Footer Char"/>
    <w:basedOn w:val="DefaultParagraphFont"/>
    <w:link w:val="Footer"/>
    <w:uiPriority w:val="99"/>
    <w:rsid w:val="00A85D45"/>
    <w:rPr>
      <w:rFonts w:ascii="Times New Roman" w:eastAsia="Times New Roman" w:hAnsi="Times New Roman" w:cs="Times New Roman"/>
      <w:sz w:val="28"/>
      <w:szCs w:val="28"/>
      <w:lang w:val="x-none" w:eastAsia="x-none"/>
    </w:rPr>
  </w:style>
  <w:style w:type="paragraph" w:styleId="BodyText2">
    <w:name w:val="Body Text 2"/>
    <w:basedOn w:val="Normal"/>
    <w:link w:val="BodyText2Char"/>
    <w:rsid w:val="00A85D45"/>
    <w:pPr>
      <w:spacing w:after="120" w:line="480" w:lineRule="auto"/>
    </w:pPr>
    <w:rPr>
      <w:sz w:val="24"/>
      <w:szCs w:val="24"/>
      <w:lang w:val="x-none" w:eastAsia="x-none"/>
    </w:rPr>
  </w:style>
  <w:style w:type="character" w:customStyle="1" w:styleId="BodyText2Char">
    <w:name w:val="Body Text 2 Char"/>
    <w:basedOn w:val="DefaultParagraphFont"/>
    <w:link w:val="BodyText2"/>
    <w:rsid w:val="00A85D45"/>
    <w:rPr>
      <w:rFonts w:ascii="Times New Roman" w:eastAsia="Times New Roman" w:hAnsi="Times New Roman" w:cs="Times New Roman"/>
      <w:sz w:val="24"/>
      <w:szCs w:val="24"/>
      <w:lang w:val="x-none" w:eastAsia="x-none"/>
    </w:rPr>
  </w:style>
  <w:style w:type="paragraph" w:customStyle="1" w:styleId="02">
    <w:name w:val="02"/>
    <w:basedOn w:val="Normal"/>
    <w:qFormat/>
    <w:rsid w:val="00A85D45"/>
    <w:pPr>
      <w:widowControl w:val="0"/>
      <w:spacing w:before="120" w:after="120"/>
      <w:ind w:firstLine="720"/>
      <w:jc w:val="both"/>
    </w:pPr>
    <w:rPr>
      <w:b/>
      <w:szCs w:val="20"/>
      <w:lang w:val="nl-NL"/>
    </w:rPr>
  </w:style>
  <w:style w:type="paragraph" w:styleId="Header">
    <w:name w:val="header"/>
    <w:basedOn w:val="Normal"/>
    <w:link w:val="HeaderChar"/>
    <w:uiPriority w:val="99"/>
    <w:unhideWhenUsed/>
    <w:rsid w:val="00A85D45"/>
    <w:pPr>
      <w:widowControl w:val="0"/>
      <w:tabs>
        <w:tab w:val="center" w:pos="4680"/>
        <w:tab w:val="right" w:pos="9360"/>
      </w:tabs>
      <w:autoSpaceDE w:val="0"/>
      <w:autoSpaceDN w:val="0"/>
    </w:pPr>
    <w:rPr>
      <w:sz w:val="22"/>
      <w:szCs w:val="22"/>
      <w:lang w:val="vi"/>
    </w:rPr>
  </w:style>
  <w:style w:type="character" w:customStyle="1" w:styleId="HeaderChar">
    <w:name w:val="Header Char"/>
    <w:basedOn w:val="DefaultParagraphFont"/>
    <w:link w:val="Header"/>
    <w:uiPriority w:val="99"/>
    <w:rsid w:val="00A85D45"/>
    <w:rPr>
      <w:rFonts w:ascii="Times New Roman" w:eastAsia="Times New Roman" w:hAnsi="Times New Roman" w:cs="Times New Roman"/>
      <w:lang w:val="vi"/>
    </w:rPr>
  </w:style>
  <w:style w:type="table" w:customStyle="1" w:styleId="TableGrid1">
    <w:name w:val="Table Grid1"/>
    <w:basedOn w:val="TableNormal"/>
    <w:next w:val="TableGrid"/>
    <w:uiPriority w:val="59"/>
    <w:rsid w:val="00A85D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aliases w:val="webb,Char Char Char Char Char Char Char Char Char Char Char,Обычный (веб)1,Обычный (веб) Знак,Обычный (веб) Знак1,Обычный (веб) Знак Знак,Char Char,Normal (Web) Char1,Char8 Char,Char8, Char Char, Char8 Char, Char8,Char Cha, webb, Char"/>
    <w:basedOn w:val="Normal"/>
    <w:link w:val="NormalWebChar"/>
    <w:uiPriority w:val="99"/>
    <w:unhideWhenUsed/>
    <w:qFormat/>
    <w:rsid w:val="00A85D45"/>
    <w:pPr>
      <w:spacing w:before="100" w:beforeAutospacing="1" w:after="100" w:afterAutospacing="1"/>
    </w:pPr>
    <w:rPr>
      <w:sz w:val="24"/>
      <w:szCs w:val="24"/>
    </w:rPr>
  </w:style>
  <w:style w:type="character" w:customStyle="1" w:styleId="NormalWebChar">
    <w:name w:val="Normal (Web) Char"/>
    <w:aliases w:val="webb Char,Char Char Char Char Char Char Char Char Char Char Char Char,Обычный (веб)1 Char,Обычный (веб) Знак Char,Обычный (веб) Знак1 Char,Обычный (веб) Знак Знак Char,Char Char Char,Normal (Web) Char1 Char,Char8 Char Char,Char8 Char1"/>
    <w:link w:val="NormalWeb"/>
    <w:uiPriority w:val="99"/>
    <w:locked/>
    <w:rsid w:val="00A85D45"/>
    <w:rPr>
      <w:rFonts w:ascii="Times New Roman" w:eastAsia="Times New Roman" w:hAnsi="Times New Roman" w:cs="Times New Roman"/>
      <w:sz w:val="24"/>
      <w:szCs w:val="24"/>
    </w:rPr>
  </w:style>
  <w:style w:type="paragraph" w:styleId="ListParagraph">
    <w:name w:val="List Paragraph"/>
    <w:aliases w:val="Bullet List,FooterText,List Paragraph1,Colorful List Accent 1,Colorful List - Accent 11,Colorful List - Accent 111,Dot pt,F5 List Paragraph,No Spacing1,List Paragraph Char Char Char,Indicator Text,Numbered Para 1,Bullet 1,normalnumber"/>
    <w:basedOn w:val="Normal"/>
    <w:link w:val="ListParagraphChar"/>
    <w:uiPriority w:val="34"/>
    <w:qFormat/>
    <w:rsid w:val="00A85D45"/>
    <w:pPr>
      <w:spacing w:after="200" w:line="276" w:lineRule="auto"/>
      <w:ind w:left="720"/>
      <w:contextualSpacing/>
    </w:pPr>
    <w:rPr>
      <w:rFonts w:asciiTheme="minorHAnsi" w:eastAsiaTheme="minorHAnsi" w:hAnsiTheme="minorHAnsi" w:cstheme="minorBidi"/>
      <w:sz w:val="22"/>
      <w:szCs w:val="22"/>
    </w:rPr>
  </w:style>
  <w:style w:type="character" w:customStyle="1" w:styleId="ListParagraphChar">
    <w:name w:val="List Paragraph Char"/>
    <w:aliases w:val="Bullet List Char,FooterText Char,List Paragraph1 Char,Colorful List Accent 1 Char,Colorful List - Accent 11 Char,Colorful List - Accent 111 Char,Dot pt Char,F5 List Paragraph Char,No Spacing1 Char,List Paragraph Char Char Char Char"/>
    <w:link w:val="ListParagraph"/>
    <w:uiPriority w:val="34"/>
    <w:rsid w:val="00A85D45"/>
  </w:style>
  <w:style w:type="character" w:styleId="Hyperlink">
    <w:name w:val="Hyperlink"/>
    <w:basedOn w:val="DefaultParagraphFont"/>
    <w:uiPriority w:val="99"/>
    <w:unhideWhenUsed/>
    <w:rsid w:val="00A85D45"/>
    <w:rPr>
      <w:color w:val="0563C1" w:themeColor="hyperlink"/>
      <w:u w:val="single"/>
    </w:rPr>
  </w:style>
  <w:style w:type="paragraph" w:styleId="FootnoteText">
    <w:name w:val="footnote text"/>
    <w:aliases w:val="Footnote Text Char Char Char Char Char,Footnote Text Char Char Char Char Char Char Ch,Footnote Text Char Char Char Char Char Char Ch Char Char Char,Footnote Text Char Char Char Char Char Char Ch Char Char Char Char Char Char C,ft,f,fn,ft C"/>
    <w:basedOn w:val="Normal"/>
    <w:link w:val="FootnoteTextChar"/>
    <w:unhideWhenUsed/>
    <w:qFormat/>
    <w:rsid w:val="00A85D45"/>
    <w:rPr>
      <w:rFonts w:eastAsia="Arial"/>
      <w:sz w:val="20"/>
      <w:szCs w:val="20"/>
      <w:lang w:val="vi-VN" w:eastAsia="x-none"/>
    </w:rPr>
  </w:style>
  <w:style w:type="character" w:customStyle="1" w:styleId="FootnoteTextChar">
    <w:name w:val="Footnote Text Char"/>
    <w:aliases w:val="Footnote Text Char Char Char Char Char Char,Footnote Text Char Char Char Char Char Char Ch Char,Footnote Text Char Char Char Char Char Char Ch Char Char Char Char,ft Char,f Char,fn Char,ft C Char"/>
    <w:basedOn w:val="DefaultParagraphFont"/>
    <w:link w:val="FootnoteText"/>
    <w:qFormat/>
    <w:rsid w:val="00A85D45"/>
    <w:rPr>
      <w:rFonts w:ascii="Times New Roman" w:eastAsia="Arial" w:hAnsi="Times New Roman" w:cs="Times New Roman"/>
      <w:sz w:val="20"/>
      <w:szCs w:val="20"/>
      <w:lang w:val="vi-VN" w:eastAsia="x-none"/>
    </w:rPr>
  </w:style>
  <w:style w:type="character" w:styleId="FootnoteReference">
    <w:name w:val="footnote reference"/>
    <w:aliases w:val="ftref,Footnote,16 Point,Superscript 6 Point,Odwołanie przypisu,Footnote text,Footnote + Arial,10 pt,Black,Superscript 6 Point + 11 pt,(NECG) Footnote Reference,Fußnotenzeichen DISS,fr,Footnote Ref in FtNote,BVI fnr,E FNZ,Footnote#,Ref"/>
    <w:link w:val="RefChar"/>
    <w:uiPriority w:val="99"/>
    <w:unhideWhenUsed/>
    <w:qFormat/>
    <w:rsid w:val="00A85D45"/>
    <w:rPr>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link w:val="FootnoteReference"/>
    <w:uiPriority w:val="99"/>
    <w:rsid w:val="00A85D45"/>
    <w:pPr>
      <w:spacing w:after="160" w:line="240" w:lineRule="exact"/>
    </w:pPr>
    <w:rPr>
      <w:rFonts w:asciiTheme="minorHAnsi" w:eastAsiaTheme="minorHAnsi" w:hAnsiTheme="minorHAnsi" w:cstheme="minorBidi"/>
      <w:sz w:val="22"/>
      <w:szCs w:val="22"/>
      <w:vertAlign w:val="superscript"/>
    </w:rPr>
  </w:style>
  <w:style w:type="table" w:styleId="TableGrid">
    <w:name w:val="Table Grid"/>
    <w:basedOn w:val="TableNormal"/>
    <w:uiPriority w:val="39"/>
    <w:rsid w:val="00A85D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024D0C"/>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24D0C"/>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0003FB"/>
    <w:rPr>
      <w:rFonts w:asciiTheme="majorHAnsi" w:eastAsiaTheme="majorEastAsia" w:hAnsiTheme="majorHAnsi" w:cstheme="majorBidi"/>
      <w:i/>
      <w:iCs/>
      <w:color w:val="2E74B5" w:themeColor="accent1" w:themeShade="BF"/>
      <w:sz w:val="28"/>
      <w:szCs w:val="28"/>
    </w:rPr>
  </w:style>
  <w:style w:type="character" w:styleId="CommentReference">
    <w:name w:val="annotation reference"/>
    <w:basedOn w:val="DefaultParagraphFont"/>
    <w:uiPriority w:val="99"/>
    <w:semiHidden/>
    <w:unhideWhenUsed/>
    <w:rsid w:val="002716FF"/>
    <w:rPr>
      <w:sz w:val="16"/>
      <w:szCs w:val="16"/>
    </w:rPr>
  </w:style>
  <w:style w:type="paragraph" w:styleId="CommentText">
    <w:name w:val="annotation text"/>
    <w:basedOn w:val="Normal"/>
    <w:link w:val="CommentTextChar"/>
    <w:uiPriority w:val="99"/>
    <w:semiHidden/>
    <w:unhideWhenUsed/>
    <w:rsid w:val="002716FF"/>
    <w:rPr>
      <w:sz w:val="20"/>
      <w:szCs w:val="20"/>
    </w:rPr>
  </w:style>
  <w:style w:type="character" w:customStyle="1" w:styleId="CommentTextChar">
    <w:name w:val="Comment Text Char"/>
    <w:basedOn w:val="DefaultParagraphFont"/>
    <w:link w:val="CommentText"/>
    <w:uiPriority w:val="99"/>
    <w:semiHidden/>
    <w:rsid w:val="002716F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716FF"/>
    <w:rPr>
      <w:b/>
      <w:bCs/>
    </w:rPr>
  </w:style>
  <w:style w:type="character" w:customStyle="1" w:styleId="CommentSubjectChar">
    <w:name w:val="Comment Subject Char"/>
    <w:basedOn w:val="CommentTextChar"/>
    <w:link w:val="CommentSubject"/>
    <w:uiPriority w:val="99"/>
    <w:semiHidden/>
    <w:rsid w:val="002716FF"/>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2716F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6FF"/>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127744">
      <w:bodyDiv w:val="1"/>
      <w:marLeft w:val="0"/>
      <w:marRight w:val="0"/>
      <w:marTop w:val="0"/>
      <w:marBottom w:val="0"/>
      <w:divBdr>
        <w:top w:val="none" w:sz="0" w:space="0" w:color="auto"/>
        <w:left w:val="none" w:sz="0" w:space="0" w:color="auto"/>
        <w:bottom w:val="none" w:sz="0" w:space="0" w:color="auto"/>
        <w:right w:val="none" w:sz="0" w:space="0" w:color="auto"/>
      </w:divBdr>
    </w:div>
    <w:div w:id="38431939">
      <w:bodyDiv w:val="1"/>
      <w:marLeft w:val="0"/>
      <w:marRight w:val="0"/>
      <w:marTop w:val="0"/>
      <w:marBottom w:val="0"/>
      <w:divBdr>
        <w:top w:val="none" w:sz="0" w:space="0" w:color="auto"/>
        <w:left w:val="none" w:sz="0" w:space="0" w:color="auto"/>
        <w:bottom w:val="none" w:sz="0" w:space="0" w:color="auto"/>
        <w:right w:val="none" w:sz="0" w:space="0" w:color="auto"/>
      </w:divBdr>
    </w:div>
    <w:div w:id="121651084">
      <w:bodyDiv w:val="1"/>
      <w:marLeft w:val="0"/>
      <w:marRight w:val="0"/>
      <w:marTop w:val="0"/>
      <w:marBottom w:val="0"/>
      <w:divBdr>
        <w:top w:val="none" w:sz="0" w:space="0" w:color="auto"/>
        <w:left w:val="none" w:sz="0" w:space="0" w:color="auto"/>
        <w:bottom w:val="none" w:sz="0" w:space="0" w:color="auto"/>
        <w:right w:val="none" w:sz="0" w:space="0" w:color="auto"/>
      </w:divBdr>
    </w:div>
    <w:div w:id="144200582">
      <w:bodyDiv w:val="1"/>
      <w:marLeft w:val="0"/>
      <w:marRight w:val="0"/>
      <w:marTop w:val="0"/>
      <w:marBottom w:val="0"/>
      <w:divBdr>
        <w:top w:val="none" w:sz="0" w:space="0" w:color="auto"/>
        <w:left w:val="none" w:sz="0" w:space="0" w:color="auto"/>
        <w:bottom w:val="none" w:sz="0" w:space="0" w:color="auto"/>
        <w:right w:val="none" w:sz="0" w:space="0" w:color="auto"/>
      </w:divBdr>
    </w:div>
    <w:div w:id="323749618">
      <w:bodyDiv w:val="1"/>
      <w:marLeft w:val="0"/>
      <w:marRight w:val="0"/>
      <w:marTop w:val="0"/>
      <w:marBottom w:val="0"/>
      <w:divBdr>
        <w:top w:val="none" w:sz="0" w:space="0" w:color="auto"/>
        <w:left w:val="none" w:sz="0" w:space="0" w:color="auto"/>
        <w:bottom w:val="none" w:sz="0" w:space="0" w:color="auto"/>
        <w:right w:val="none" w:sz="0" w:space="0" w:color="auto"/>
      </w:divBdr>
    </w:div>
    <w:div w:id="392584911">
      <w:bodyDiv w:val="1"/>
      <w:marLeft w:val="0"/>
      <w:marRight w:val="0"/>
      <w:marTop w:val="0"/>
      <w:marBottom w:val="0"/>
      <w:divBdr>
        <w:top w:val="none" w:sz="0" w:space="0" w:color="auto"/>
        <w:left w:val="none" w:sz="0" w:space="0" w:color="auto"/>
        <w:bottom w:val="none" w:sz="0" w:space="0" w:color="auto"/>
        <w:right w:val="none" w:sz="0" w:space="0" w:color="auto"/>
      </w:divBdr>
    </w:div>
    <w:div w:id="424304890">
      <w:bodyDiv w:val="1"/>
      <w:marLeft w:val="0"/>
      <w:marRight w:val="0"/>
      <w:marTop w:val="0"/>
      <w:marBottom w:val="0"/>
      <w:divBdr>
        <w:top w:val="none" w:sz="0" w:space="0" w:color="auto"/>
        <w:left w:val="none" w:sz="0" w:space="0" w:color="auto"/>
        <w:bottom w:val="none" w:sz="0" w:space="0" w:color="auto"/>
        <w:right w:val="none" w:sz="0" w:space="0" w:color="auto"/>
      </w:divBdr>
    </w:div>
    <w:div w:id="459956950">
      <w:bodyDiv w:val="1"/>
      <w:marLeft w:val="0"/>
      <w:marRight w:val="0"/>
      <w:marTop w:val="0"/>
      <w:marBottom w:val="0"/>
      <w:divBdr>
        <w:top w:val="none" w:sz="0" w:space="0" w:color="auto"/>
        <w:left w:val="none" w:sz="0" w:space="0" w:color="auto"/>
        <w:bottom w:val="none" w:sz="0" w:space="0" w:color="auto"/>
        <w:right w:val="none" w:sz="0" w:space="0" w:color="auto"/>
      </w:divBdr>
    </w:div>
    <w:div w:id="776019670">
      <w:bodyDiv w:val="1"/>
      <w:marLeft w:val="0"/>
      <w:marRight w:val="0"/>
      <w:marTop w:val="0"/>
      <w:marBottom w:val="0"/>
      <w:divBdr>
        <w:top w:val="none" w:sz="0" w:space="0" w:color="auto"/>
        <w:left w:val="none" w:sz="0" w:space="0" w:color="auto"/>
        <w:bottom w:val="none" w:sz="0" w:space="0" w:color="auto"/>
        <w:right w:val="none" w:sz="0" w:space="0" w:color="auto"/>
      </w:divBdr>
    </w:div>
    <w:div w:id="878475130">
      <w:bodyDiv w:val="1"/>
      <w:marLeft w:val="0"/>
      <w:marRight w:val="0"/>
      <w:marTop w:val="0"/>
      <w:marBottom w:val="0"/>
      <w:divBdr>
        <w:top w:val="none" w:sz="0" w:space="0" w:color="auto"/>
        <w:left w:val="none" w:sz="0" w:space="0" w:color="auto"/>
        <w:bottom w:val="none" w:sz="0" w:space="0" w:color="auto"/>
        <w:right w:val="none" w:sz="0" w:space="0" w:color="auto"/>
      </w:divBdr>
    </w:div>
    <w:div w:id="944069422">
      <w:bodyDiv w:val="1"/>
      <w:marLeft w:val="0"/>
      <w:marRight w:val="0"/>
      <w:marTop w:val="0"/>
      <w:marBottom w:val="0"/>
      <w:divBdr>
        <w:top w:val="none" w:sz="0" w:space="0" w:color="auto"/>
        <w:left w:val="none" w:sz="0" w:space="0" w:color="auto"/>
        <w:bottom w:val="none" w:sz="0" w:space="0" w:color="auto"/>
        <w:right w:val="none" w:sz="0" w:space="0" w:color="auto"/>
      </w:divBdr>
    </w:div>
    <w:div w:id="1096176369">
      <w:bodyDiv w:val="1"/>
      <w:marLeft w:val="0"/>
      <w:marRight w:val="0"/>
      <w:marTop w:val="0"/>
      <w:marBottom w:val="0"/>
      <w:divBdr>
        <w:top w:val="none" w:sz="0" w:space="0" w:color="auto"/>
        <w:left w:val="none" w:sz="0" w:space="0" w:color="auto"/>
        <w:bottom w:val="none" w:sz="0" w:space="0" w:color="auto"/>
        <w:right w:val="none" w:sz="0" w:space="0" w:color="auto"/>
      </w:divBdr>
    </w:div>
    <w:div w:id="1152137570">
      <w:bodyDiv w:val="1"/>
      <w:marLeft w:val="0"/>
      <w:marRight w:val="0"/>
      <w:marTop w:val="0"/>
      <w:marBottom w:val="0"/>
      <w:divBdr>
        <w:top w:val="none" w:sz="0" w:space="0" w:color="auto"/>
        <w:left w:val="none" w:sz="0" w:space="0" w:color="auto"/>
        <w:bottom w:val="none" w:sz="0" w:space="0" w:color="auto"/>
        <w:right w:val="none" w:sz="0" w:space="0" w:color="auto"/>
      </w:divBdr>
    </w:div>
    <w:div w:id="1184517846">
      <w:bodyDiv w:val="1"/>
      <w:marLeft w:val="0"/>
      <w:marRight w:val="0"/>
      <w:marTop w:val="0"/>
      <w:marBottom w:val="0"/>
      <w:divBdr>
        <w:top w:val="none" w:sz="0" w:space="0" w:color="auto"/>
        <w:left w:val="none" w:sz="0" w:space="0" w:color="auto"/>
        <w:bottom w:val="none" w:sz="0" w:space="0" w:color="auto"/>
        <w:right w:val="none" w:sz="0" w:space="0" w:color="auto"/>
      </w:divBdr>
    </w:div>
    <w:div w:id="1192844172">
      <w:bodyDiv w:val="1"/>
      <w:marLeft w:val="0"/>
      <w:marRight w:val="0"/>
      <w:marTop w:val="0"/>
      <w:marBottom w:val="0"/>
      <w:divBdr>
        <w:top w:val="none" w:sz="0" w:space="0" w:color="auto"/>
        <w:left w:val="none" w:sz="0" w:space="0" w:color="auto"/>
        <w:bottom w:val="none" w:sz="0" w:space="0" w:color="auto"/>
        <w:right w:val="none" w:sz="0" w:space="0" w:color="auto"/>
      </w:divBdr>
    </w:div>
    <w:div w:id="1339427228">
      <w:bodyDiv w:val="1"/>
      <w:marLeft w:val="0"/>
      <w:marRight w:val="0"/>
      <w:marTop w:val="0"/>
      <w:marBottom w:val="0"/>
      <w:divBdr>
        <w:top w:val="none" w:sz="0" w:space="0" w:color="auto"/>
        <w:left w:val="none" w:sz="0" w:space="0" w:color="auto"/>
        <w:bottom w:val="none" w:sz="0" w:space="0" w:color="auto"/>
        <w:right w:val="none" w:sz="0" w:space="0" w:color="auto"/>
      </w:divBdr>
    </w:div>
    <w:div w:id="1403144192">
      <w:bodyDiv w:val="1"/>
      <w:marLeft w:val="0"/>
      <w:marRight w:val="0"/>
      <w:marTop w:val="0"/>
      <w:marBottom w:val="0"/>
      <w:divBdr>
        <w:top w:val="none" w:sz="0" w:space="0" w:color="auto"/>
        <w:left w:val="none" w:sz="0" w:space="0" w:color="auto"/>
        <w:bottom w:val="none" w:sz="0" w:space="0" w:color="auto"/>
        <w:right w:val="none" w:sz="0" w:space="0" w:color="auto"/>
      </w:divBdr>
    </w:div>
    <w:div w:id="1504011537">
      <w:bodyDiv w:val="1"/>
      <w:marLeft w:val="0"/>
      <w:marRight w:val="0"/>
      <w:marTop w:val="0"/>
      <w:marBottom w:val="0"/>
      <w:divBdr>
        <w:top w:val="none" w:sz="0" w:space="0" w:color="auto"/>
        <w:left w:val="none" w:sz="0" w:space="0" w:color="auto"/>
        <w:bottom w:val="none" w:sz="0" w:space="0" w:color="auto"/>
        <w:right w:val="none" w:sz="0" w:space="0" w:color="auto"/>
      </w:divBdr>
    </w:div>
    <w:div w:id="1673684862">
      <w:bodyDiv w:val="1"/>
      <w:marLeft w:val="0"/>
      <w:marRight w:val="0"/>
      <w:marTop w:val="0"/>
      <w:marBottom w:val="0"/>
      <w:divBdr>
        <w:top w:val="none" w:sz="0" w:space="0" w:color="auto"/>
        <w:left w:val="none" w:sz="0" w:space="0" w:color="auto"/>
        <w:bottom w:val="none" w:sz="0" w:space="0" w:color="auto"/>
        <w:right w:val="none" w:sz="0" w:space="0" w:color="auto"/>
      </w:divBdr>
    </w:div>
    <w:div w:id="1921064271">
      <w:bodyDiv w:val="1"/>
      <w:marLeft w:val="0"/>
      <w:marRight w:val="0"/>
      <w:marTop w:val="0"/>
      <w:marBottom w:val="0"/>
      <w:divBdr>
        <w:top w:val="none" w:sz="0" w:space="0" w:color="auto"/>
        <w:left w:val="none" w:sz="0" w:space="0" w:color="auto"/>
        <w:bottom w:val="none" w:sz="0" w:space="0" w:color="auto"/>
        <w:right w:val="none" w:sz="0" w:space="0" w:color="auto"/>
      </w:divBdr>
    </w:div>
    <w:div w:id="1932465799">
      <w:bodyDiv w:val="1"/>
      <w:marLeft w:val="0"/>
      <w:marRight w:val="0"/>
      <w:marTop w:val="0"/>
      <w:marBottom w:val="0"/>
      <w:divBdr>
        <w:top w:val="none" w:sz="0" w:space="0" w:color="auto"/>
        <w:left w:val="none" w:sz="0" w:space="0" w:color="auto"/>
        <w:bottom w:val="none" w:sz="0" w:space="0" w:color="auto"/>
        <w:right w:val="none" w:sz="0" w:space="0" w:color="auto"/>
      </w:divBdr>
    </w:div>
    <w:div w:id="2090537725">
      <w:bodyDiv w:val="1"/>
      <w:marLeft w:val="0"/>
      <w:marRight w:val="0"/>
      <w:marTop w:val="0"/>
      <w:marBottom w:val="0"/>
      <w:divBdr>
        <w:top w:val="none" w:sz="0" w:space="0" w:color="auto"/>
        <w:left w:val="none" w:sz="0" w:space="0" w:color="auto"/>
        <w:bottom w:val="none" w:sz="0" w:space="0" w:color="auto"/>
        <w:right w:val="none" w:sz="0" w:space="0" w:color="auto"/>
      </w:divBdr>
    </w:div>
    <w:div w:id="2109738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17</Pages>
  <Words>7197</Words>
  <Characters>41028</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 Minh Duc</dc:creator>
  <cp:lastModifiedBy>Duong Khanh Linh</cp:lastModifiedBy>
  <cp:revision>103</cp:revision>
  <cp:lastPrinted>2025-04-29T03:45:00Z</cp:lastPrinted>
  <dcterms:created xsi:type="dcterms:W3CDTF">2026-10-21T05:27:00Z</dcterms:created>
  <dcterms:modified xsi:type="dcterms:W3CDTF">2026-10-21T10:43:00Z</dcterms:modified>
</cp:coreProperties>
</file>